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EC" w:rsidRPr="00FD341E" w:rsidRDefault="006C06EC" w:rsidP="0077278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FD341E">
        <w:rPr>
          <w:rFonts w:ascii="Arial" w:eastAsia="Arial" w:hAnsi="Arial" w:cs="Arial"/>
          <w:b/>
          <w:sz w:val="28"/>
          <w:szCs w:val="28"/>
        </w:rPr>
        <w:t>ENFERMEDAD CELIACA Y LOS MEDIOS DIAGNÓSTICOS.</w:t>
      </w:r>
    </w:p>
    <w:p w:rsidR="006C06EC" w:rsidRPr="00FD341E" w:rsidRDefault="006C06EC" w:rsidP="0077278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FD341E">
        <w:rPr>
          <w:rFonts w:ascii="Arial" w:eastAsia="Arial" w:hAnsi="Arial" w:cs="Arial"/>
          <w:b/>
          <w:sz w:val="28"/>
          <w:szCs w:val="28"/>
        </w:rPr>
        <w:t>HOSPITAL PEDIATRICO DOCENTE WILLIAM SOLER. 2019</w:t>
      </w:r>
    </w:p>
    <w:p w:rsidR="006C06EC" w:rsidRPr="0004108E" w:rsidRDefault="006C06EC" w:rsidP="0077278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C06EC" w:rsidRPr="0004108E" w:rsidRDefault="006C06EC" w:rsidP="000B232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4108E">
        <w:rPr>
          <w:rFonts w:ascii="Arial" w:hAnsi="Arial" w:cs="Arial"/>
          <w:bCs/>
          <w:sz w:val="24"/>
          <w:szCs w:val="24"/>
        </w:rPr>
        <w:t>AUTORES:</w:t>
      </w:r>
    </w:p>
    <w:p w:rsidR="006C06EC" w:rsidRPr="0004108E" w:rsidRDefault="00577325" w:rsidP="000B2322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  <w:lang w:val="es-VE"/>
        </w:rPr>
      </w:pPr>
      <w:r>
        <w:rPr>
          <w:rFonts w:ascii="Arial" w:hAnsi="Arial" w:cs="Arial"/>
          <w:bCs/>
          <w:sz w:val="24"/>
          <w:szCs w:val="24"/>
          <w:lang w:val="es-VE"/>
        </w:rPr>
        <w:t xml:space="preserve"> </w:t>
      </w:r>
      <w:r w:rsidR="006C06EC" w:rsidRPr="0004108E">
        <w:rPr>
          <w:rFonts w:ascii="Arial" w:hAnsi="Arial" w:cs="Arial"/>
          <w:bCs/>
          <w:sz w:val="24"/>
          <w:szCs w:val="24"/>
          <w:lang w:val="es-VE"/>
        </w:rPr>
        <w:t>Lic. Mabel L. Andrade Ruiseco</w:t>
      </w:r>
      <w:r w:rsidR="006C06EC" w:rsidRPr="0004108E">
        <w:rPr>
          <w:rFonts w:ascii="Arial" w:hAnsi="Arial" w:cs="Arial"/>
          <w:bCs/>
          <w:sz w:val="24"/>
          <w:szCs w:val="24"/>
          <w:vertAlign w:val="superscript"/>
          <w:lang w:val="es-VE"/>
        </w:rPr>
        <w:t>1</w:t>
      </w:r>
    </w:p>
    <w:p w:rsidR="006C06EC" w:rsidRPr="0004108E" w:rsidRDefault="006C06EC" w:rsidP="000B2322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4108E">
        <w:rPr>
          <w:rFonts w:ascii="Arial" w:hAnsi="Arial" w:cs="Arial"/>
          <w:bCs/>
          <w:sz w:val="24"/>
          <w:szCs w:val="24"/>
        </w:rPr>
        <w:t>Dr. Wladimiro F. García Pérez</w:t>
      </w:r>
      <w:r w:rsidRPr="0004108E">
        <w:rPr>
          <w:rFonts w:ascii="Arial" w:hAnsi="Arial" w:cs="Arial"/>
          <w:bCs/>
          <w:sz w:val="24"/>
          <w:szCs w:val="24"/>
          <w:vertAlign w:val="superscript"/>
        </w:rPr>
        <w:t>2</w:t>
      </w:r>
      <w:bookmarkStart w:id="0" w:name="_GoBack"/>
      <w:bookmarkEnd w:id="0"/>
    </w:p>
    <w:p w:rsidR="006C06EC" w:rsidRPr="0004108E" w:rsidRDefault="006C06EC" w:rsidP="000B2322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04108E">
        <w:rPr>
          <w:rFonts w:ascii="Arial" w:hAnsi="Arial" w:cs="Arial"/>
          <w:bCs/>
          <w:sz w:val="24"/>
          <w:szCs w:val="24"/>
          <w:lang w:val="es-ES"/>
        </w:rPr>
        <w:t>Dra. Beatriz Alfonso González</w:t>
      </w:r>
      <w:r w:rsidR="00FD341E">
        <w:rPr>
          <w:rFonts w:ascii="Arial" w:hAnsi="Arial" w:cs="Arial"/>
          <w:bCs/>
          <w:sz w:val="24"/>
          <w:szCs w:val="24"/>
          <w:vertAlign w:val="superscript"/>
          <w:lang w:val="es-ES"/>
        </w:rPr>
        <w:t>3</w:t>
      </w:r>
    </w:p>
    <w:p w:rsidR="006C06EC" w:rsidRPr="0004108E" w:rsidRDefault="000B2322" w:rsidP="000B2322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C06EC" w:rsidRPr="0004108E">
        <w:rPr>
          <w:rFonts w:ascii="Arial" w:hAnsi="Arial" w:cs="Arial"/>
          <w:sz w:val="24"/>
          <w:szCs w:val="24"/>
        </w:rPr>
        <w:t>Dra. Gissel García Menéndez</w:t>
      </w:r>
      <w:r w:rsidR="00FD341E">
        <w:rPr>
          <w:rFonts w:ascii="Arial" w:hAnsi="Arial" w:cs="Arial"/>
          <w:sz w:val="24"/>
          <w:szCs w:val="24"/>
          <w:vertAlign w:val="superscript"/>
        </w:rPr>
        <w:t>4</w:t>
      </w:r>
    </w:p>
    <w:p w:rsidR="006C06EC" w:rsidRDefault="000B2322" w:rsidP="000B2322">
      <w:pPr>
        <w:widowControl w:val="0"/>
        <w:spacing w:line="240" w:lineRule="auto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 w:rsidR="006C06EC" w:rsidRPr="0004108E">
        <w:rPr>
          <w:rFonts w:ascii="Arial" w:hAnsi="Arial" w:cs="Arial"/>
          <w:bCs/>
          <w:sz w:val="24"/>
          <w:szCs w:val="24"/>
        </w:rPr>
        <w:t>Dra. Yusimy Davas Andrade</w:t>
      </w:r>
      <w:r w:rsidR="00FD341E" w:rsidRPr="00FD341E">
        <w:rPr>
          <w:rFonts w:ascii="Arial" w:hAnsi="Arial" w:cs="Arial"/>
          <w:bCs/>
          <w:sz w:val="24"/>
          <w:szCs w:val="24"/>
          <w:vertAlign w:val="superscript"/>
        </w:rPr>
        <w:t>5</w:t>
      </w:r>
    </w:p>
    <w:p w:rsidR="00FD341E" w:rsidRPr="0004108E" w:rsidRDefault="000B2322" w:rsidP="000B2322">
      <w:pPr>
        <w:widowControl w:val="0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FD341E" w:rsidRPr="0004108E">
        <w:rPr>
          <w:rFonts w:ascii="Arial" w:hAnsi="Arial" w:cs="Arial"/>
          <w:bCs/>
          <w:sz w:val="24"/>
          <w:szCs w:val="24"/>
        </w:rPr>
        <w:t>Lic. Lilian Zenaida Escalona Muñoz</w:t>
      </w:r>
      <w:r w:rsidR="00FD341E">
        <w:rPr>
          <w:rFonts w:ascii="Arial" w:hAnsi="Arial" w:cs="Arial"/>
          <w:bCs/>
          <w:sz w:val="24"/>
          <w:szCs w:val="24"/>
          <w:vertAlign w:val="superscript"/>
        </w:rPr>
        <w:t>6</w:t>
      </w:r>
    </w:p>
    <w:p w:rsidR="006C06EC" w:rsidRPr="0004108E" w:rsidRDefault="006C06EC" w:rsidP="0077278E">
      <w:pPr>
        <w:widowControl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4108E">
        <w:rPr>
          <w:rFonts w:ascii="Arial" w:hAnsi="Arial" w:cs="Arial"/>
          <w:bCs/>
          <w:sz w:val="24"/>
          <w:szCs w:val="24"/>
        </w:rPr>
        <w:t>1. Hospital William Soler/Dpto. Medios Diagnósticos, La Habana, Cuba.</w:t>
      </w:r>
      <w:r w:rsidRPr="0004108E">
        <w:rPr>
          <w:rFonts w:ascii="Arial" w:hAnsi="Arial" w:cs="Arial"/>
          <w:bCs/>
          <w:sz w:val="24"/>
          <w:szCs w:val="24"/>
          <w:lang w:val="es-VE"/>
        </w:rPr>
        <w:t xml:space="preserve"> </w:t>
      </w:r>
      <w:hyperlink r:id="rId6" w:history="1">
        <w:r w:rsidRPr="0004108E">
          <w:rPr>
            <w:rStyle w:val="Hipervnculo"/>
            <w:rFonts w:ascii="Arial" w:hAnsi="Arial" w:cs="Arial"/>
            <w:bCs/>
            <w:sz w:val="24"/>
            <w:szCs w:val="24"/>
            <w:lang w:val="es-VE"/>
          </w:rPr>
          <w:t>mabelar@infomed.sld.cu</w:t>
        </w:r>
      </w:hyperlink>
      <w:r w:rsidR="00354636">
        <w:rPr>
          <w:rStyle w:val="Hipervnculo"/>
          <w:rFonts w:ascii="Arial" w:hAnsi="Arial" w:cs="Arial"/>
          <w:bCs/>
          <w:sz w:val="24"/>
          <w:szCs w:val="24"/>
          <w:lang w:val="es-VE"/>
        </w:rPr>
        <w:t xml:space="preserve">. </w:t>
      </w:r>
      <w:r w:rsidR="00963943" w:rsidRPr="0004108E">
        <w:rPr>
          <w:rFonts w:ascii="Arial" w:hAnsi="Arial" w:cs="Arial"/>
          <w:bCs/>
          <w:sz w:val="24"/>
          <w:szCs w:val="24"/>
        </w:rPr>
        <w:t>2, 3</w:t>
      </w:r>
      <w:r w:rsidR="00354636">
        <w:rPr>
          <w:rFonts w:ascii="Arial" w:hAnsi="Arial" w:cs="Arial"/>
          <w:bCs/>
          <w:sz w:val="24"/>
          <w:szCs w:val="24"/>
        </w:rPr>
        <w:t>, 5</w:t>
      </w:r>
      <w:r w:rsidR="00963943" w:rsidRPr="0004108E">
        <w:rPr>
          <w:rFonts w:ascii="Arial" w:hAnsi="Arial" w:cs="Arial"/>
          <w:bCs/>
          <w:sz w:val="24"/>
          <w:szCs w:val="24"/>
        </w:rPr>
        <w:t>.</w:t>
      </w:r>
      <w:r w:rsidRPr="0004108E">
        <w:rPr>
          <w:rFonts w:ascii="Arial" w:hAnsi="Arial" w:cs="Arial"/>
          <w:bCs/>
          <w:sz w:val="24"/>
          <w:szCs w:val="24"/>
        </w:rPr>
        <w:t xml:space="preserve"> Hospital William Soler/Servicio de Gastroenterología, La Habana, Cuba.</w:t>
      </w:r>
      <w:r w:rsidRPr="0004108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04108E">
          <w:rPr>
            <w:rStyle w:val="Hipervnculo"/>
            <w:rFonts w:ascii="Arial" w:hAnsi="Arial" w:cs="Arial"/>
            <w:bCs/>
            <w:sz w:val="24"/>
            <w:szCs w:val="24"/>
          </w:rPr>
          <w:t>wladimir@infomed.sld.cu</w:t>
        </w:r>
      </w:hyperlink>
      <w:r w:rsidR="00FA2652">
        <w:rPr>
          <w:rStyle w:val="Hipervnculo"/>
          <w:rFonts w:ascii="Arial" w:hAnsi="Arial" w:cs="Arial"/>
          <w:bCs/>
          <w:sz w:val="24"/>
          <w:szCs w:val="24"/>
        </w:rPr>
        <w:t xml:space="preserve">. </w:t>
      </w:r>
      <w:r w:rsidRPr="0004108E">
        <w:rPr>
          <w:rFonts w:ascii="Arial" w:hAnsi="Arial" w:cs="Arial"/>
          <w:bCs/>
          <w:sz w:val="24"/>
          <w:szCs w:val="24"/>
        </w:rPr>
        <w:t xml:space="preserve">4. </w:t>
      </w:r>
      <w:r w:rsidR="00354636" w:rsidRPr="0004108E">
        <w:rPr>
          <w:rFonts w:ascii="Arial" w:hAnsi="Arial" w:cs="Arial"/>
          <w:bCs/>
          <w:sz w:val="24"/>
          <w:szCs w:val="24"/>
        </w:rPr>
        <w:t>Hospital Hermanos Ameijeiras/Dpto. Genética Molecular, La Habana, Cuba</w:t>
      </w:r>
      <w:r w:rsidR="00354636">
        <w:rPr>
          <w:rFonts w:ascii="Arial" w:hAnsi="Arial" w:cs="Arial"/>
          <w:bCs/>
          <w:sz w:val="24"/>
          <w:szCs w:val="24"/>
        </w:rPr>
        <w:t xml:space="preserve">, 6. </w:t>
      </w:r>
      <w:r w:rsidRPr="0004108E">
        <w:rPr>
          <w:rFonts w:ascii="Arial" w:hAnsi="Arial" w:cs="Arial"/>
          <w:bCs/>
          <w:sz w:val="24"/>
          <w:szCs w:val="24"/>
        </w:rPr>
        <w:t>Hospital William Soler/Dpto. Medios Diagnósticos, La Habana, Cuba.</w:t>
      </w:r>
    </w:p>
    <w:p w:rsidR="000F3804" w:rsidRPr="00FA2652" w:rsidRDefault="000F3804" w:rsidP="0077278E">
      <w:pPr>
        <w:spacing w:line="240" w:lineRule="auto"/>
        <w:jc w:val="both"/>
        <w:rPr>
          <w:rFonts w:ascii="Arial" w:hAnsi="Arial" w:cs="Arial"/>
          <w:b/>
          <w:bCs/>
        </w:rPr>
      </w:pPr>
      <w:r w:rsidRPr="00FA2652">
        <w:rPr>
          <w:rFonts w:ascii="Arial" w:hAnsi="Arial" w:cs="Arial"/>
          <w:b/>
          <w:bCs/>
        </w:rPr>
        <w:t>RESUMEN:</w:t>
      </w:r>
    </w:p>
    <w:p w:rsidR="006C06EC" w:rsidRPr="000F3804" w:rsidRDefault="006C06EC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F3804">
        <w:rPr>
          <w:rFonts w:ascii="Arial" w:hAnsi="Arial" w:cs="Arial"/>
          <w:bCs/>
          <w:sz w:val="20"/>
          <w:szCs w:val="20"/>
        </w:rPr>
        <w:t xml:space="preserve">INTRODUCCION: La enfermedad celiaca es una entidad autoinmune que tiene como detonante la </w:t>
      </w:r>
      <w:proofErr w:type="gramStart"/>
      <w:r w:rsidRPr="000F3804">
        <w:rPr>
          <w:rFonts w:ascii="Arial" w:hAnsi="Arial" w:cs="Arial"/>
          <w:bCs/>
          <w:sz w:val="20"/>
          <w:szCs w:val="20"/>
        </w:rPr>
        <w:t>ingesta  prolaminas</w:t>
      </w:r>
      <w:proofErr w:type="gramEnd"/>
      <w:r w:rsidRPr="000F3804">
        <w:rPr>
          <w:rFonts w:ascii="Arial" w:hAnsi="Arial" w:cs="Arial"/>
          <w:bCs/>
          <w:sz w:val="20"/>
          <w:szCs w:val="20"/>
        </w:rPr>
        <w:t xml:space="preserve"> en personas genéticamente susceptibles.</w:t>
      </w:r>
      <w:r w:rsidR="00E5496A" w:rsidRPr="000F3804">
        <w:rPr>
          <w:rFonts w:ascii="Arial" w:hAnsi="Arial" w:cs="Arial"/>
          <w:bCs/>
          <w:sz w:val="20"/>
          <w:szCs w:val="20"/>
        </w:rPr>
        <w:t xml:space="preserve"> </w:t>
      </w:r>
      <w:r w:rsidRPr="000F3804">
        <w:rPr>
          <w:rFonts w:ascii="Arial" w:hAnsi="Arial" w:cs="Arial"/>
          <w:bCs/>
          <w:sz w:val="20"/>
          <w:szCs w:val="20"/>
        </w:rPr>
        <w:t xml:space="preserve">OBJETIVOS: Estudiar un grupo de niños </w:t>
      </w:r>
      <w:r w:rsidR="00270EBE" w:rsidRPr="000F3804">
        <w:rPr>
          <w:rFonts w:ascii="Arial" w:hAnsi="Arial" w:cs="Arial"/>
          <w:bCs/>
          <w:sz w:val="20"/>
          <w:szCs w:val="20"/>
        </w:rPr>
        <w:t xml:space="preserve">a través de </w:t>
      </w:r>
      <w:r w:rsidRPr="000F3804">
        <w:rPr>
          <w:rFonts w:ascii="Arial" w:hAnsi="Arial" w:cs="Arial"/>
          <w:bCs/>
          <w:sz w:val="20"/>
          <w:szCs w:val="20"/>
        </w:rPr>
        <w:t>medios diagnósticos adecuados para el diagnóstico de Celiaquía y precisar los criterios según la certeza de dichos instrumentos.</w:t>
      </w:r>
      <w:r w:rsidR="00E5496A" w:rsidRPr="000F3804">
        <w:rPr>
          <w:rFonts w:ascii="Arial" w:hAnsi="Arial" w:cs="Arial"/>
          <w:bCs/>
          <w:sz w:val="20"/>
          <w:szCs w:val="20"/>
        </w:rPr>
        <w:t xml:space="preserve"> </w:t>
      </w:r>
      <w:r w:rsidRPr="000F3804">
        <w:rPr>
          <w:rFonts w:ascii="Arial" w:hAnsi="Arial" w:cs="Arial"/>
          <w:bCs/>
          <w:sz w:val="20"/>
          <w:szCs w:val="20"/>
        </w:rPr>
        <w:t xml:space="preserve">METODO: Estudiamos 52 niños que, </w:t>
      </w:r>
      <w:r w:rsidR="00270EBE" w:rsidRPr="000F3804">
        <w:rPr>
          <w:rFonts w:ascii="Arial" w:hAnsi="Arial" w:cs="Arial"/>
          <w:bCs/>
          <w:sz w:val="20"/>
          <w:szCs w:val="20"/>
        </w:rPr>
        <w:t xml:space="preserve">desde </w:t>
      </w:r>
      <w:r w:rsidRPr="000F3804">
        <w:rPr>
          <w:rFonts w:ascii="Arial" w:hAnsi="Arial" w:cs="Arial"/>
          <w:bCs/>
          <w:sz w:val="20"/>
          <w:szCs w:val="20"/>
        </w:rPr>
        <w:t>la clínica, implicaba medios diagnósticos como la obtención de biopsias duodenales y la clasificación histológica según Marsh, el laboratorio clínico para la determinación de anticuerpos antitransglutaminasa tisular y el laboratorio de biología molecular, que determinó la presencia de moléculas de HLA DQ</w:t>
      </w:r>
      <w:r w:rsidRPr="000F3804">
        <w:rPr>
          <w:rFonts w:ascii="Arial" w:hAnsi="Arial" w:cs="Arial"/>
          <w:bCs/>
          <w:sz w:val="20"/>
          <w:szCs w:val="20"/>
          <w:vertAlign w:val="subscript"/>
        </w:rPr>
        <w:t>2</w:t>
      </w:r>
      <w:r w:rsidRPr="000F3804">
        <w:rPr>
          <w:rFonts w:ascii="Arial" w:hAnsi="Arial" w:cs="Arial"/>
          <w:bCs/>
          <w:sz w:val="20"/>
          <w:szCs w:val="20"/>
        </w:rPr>
        <w:t xml:space="preserve"> – DQ</w:t>
      </w:r>
      <w:r w:rsidRPr="000F3804">
        <w:rPr>
          <w:rFonts w:ascii="Arial" w:hAnsi="Arial" w:cs="Arial"/>
          <w:bCs/>
          <w:sz w:val="20"/>
          <w:szCs w:val="20"/>
          <w:vertAlign w:val="subscript"/>
        </w:rPr>
        <w:t>8</w:t>
      </w:r>
      <w:r w:rsidRPr="000F3804">
        <w:rPr>
          <w:rFonts w:ascii="Arial" w:hAnsi="Arial" w:cs="Arial"/>
          <w:bCs/>
          <w:sz w:val="20"/>
          <w:szCs w:val="20"/>
        </w:rPr>
        <w:t xml:space="preserve"> como genética de la enfermedad celiaca</w:t>
      </w:r>
      <w:r w:rsidR="00E5496A" w:rsidRPr="000F3804">
        <w:rPr>
          <w:rFonts w:ascii="Arial" w:hAnsi="Arial" w:cs="Arial"/>
          <w:bCs/>
          <w:sz w:val="20"/>
          <w:szCs w:val="20"/>
        </w:rPr>
        <w:t xml:space="preserve"> </w:t>
      </w:r>
      <w:r w:rsidRPr="000F3804">
        <w:rPr>
          <w:rFonts w:ascii="Arial" w:hAnsi="Arial" w:cs="Arial"/>
          <w:bCs/>
          <w:sz w:val="20"/>
          <w:szCs w:val="20"/>
        </w:rPr>
        <w:t>RESULTADOS: Como resultado obtuvimos el diagnóstico certero de 26 pacientes con enfermedad celiaca y algunas consideraciones importantes para ser aplicadas en nuestros centros.</w:t>
      </w:r>
      <w:r w:rsidR="00E5496A" w:rsidRPr="000F3804">
        <w:rPr>
          <w:rFonts w:ascii="Arial" w:hAnsi="Arial" w:cs="Arial"/>
          <w:bCs/>
          <w:sz w:val="20"/>
          <w:szCs w:val="20"/>
        </w:rPr>
        <w:t xml:space="preserve"> </w:t>
      </w:r>
      <w:r w:rsidRPr="000F3804">
        <w:rPr>
          <w:rFonts w:ascii="Arial" w:hAnsi="Arial" w:cs="Arial"/>
          <w:bCs/>
          <w:sz w:val="20"/>
          <w:szCs w:val="20"/>
        </w:rPr>
        <w:t>CONCLUSIONES:</w:t>
      </w:r>
      <w:r w:rsidRPr="000F3804">
        <w:rPr>
          <w:rFonts w:ascii="Arial" w:hAnsi="Arial" w:cs="Arial"/>
          <w:sz w:val="20"/>
          <w:szCs w:val="20"/>
        </w:rPr>
        <w:t xml:space="preserve"> El uso de los medios diagnósticos es vital para la certeza diagnóstica de enfermedad celiaca. Sólo el 50% de los pacientes estudiados reunían los criterios de celiaquía. </w:t>
      </w:r>
    </w:p>
    <w:p w:rsidR="006C06EC" w:rsidRDefault="006C06EC" w:rsidP="007727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F3804">
        <w:rPr>
          <w:rFonts w:ascii="Arial" w:hAnsi="Arial" w:cs="Arial"/>
          <w:bCs/>
          <w:sz w:val="20"/>
          <w:szCs w:val="20"/>
        </w:rPr>
        <w:t>PALABRAS CLAVES: Enfermedad celiaca, medios diagnósticos, resultados.</w:t>
      </w:r>
    </w:p>
    <w:p w:rsidR="00AE71C9" w:rsidRPr="00A675D6" w:rsidRDefault="00E532EF" w:rsidP="00AE71C9">
      <w:pPr>
        <w:spacing w:line="240" w:lineRule="auto"/>
        <w:jc w:val="both"/>
        <w:rPr>
          <w:rStyle w:val="Textoennegrita"/>
          <w:rFonts w:ascii="Arial" w:hAnsi="Arial" w:cs="Arial"/>
          <w:b w:val="0"/>
          <w:lang w:val="en"/>
        </w:rPr>
      </w:pPr>
      <w:r w:rsidRPr="00A675D6">
        <w:rPr>
          <w:rStyle w:val="tlid-translation"/>
          <w:rFonts w:ascii="Arial" w:hAnsi="Arial" w:cs="Arial"/>
          <w:b/>
          <w:lang w:val="en"/>
        </w:rPr>
        <w:t>SUMMARY:</w:t>
      </w:r>
      <w:r w:rsidR="00AE71C9" w:rsidRPr="00A675D6">
        <w:rPr>
          <w:rStyle w:val="Textoennegrita"/>
          <w:rFonts w:ascii="Arial" w:hAnsi="Arial" w:cs="Arial"/>
          <w:b w:val="0"/>
          <w:lang w:val="en"/>
        </w:rPr>
        <w:t xml:space="preserve"> </w:t>
      </w:r>
    </w:p>
    <w:p w:rsidR="008C3F66" w:rsidRPr="00A675D6" w:rsidRDefault="00A675D6" w:rsidP="00AE71C9">
      <w:pPr>
        <w:spacing w:line="240" w:lineRule="auto"/>
        <w:jc w:val="both"/>
        <w:rPr>
          <w:rStyle w:val="tlid-translation"/>
          <w:rFonts w:ascii="Arial" w:hAnsi="Arial" w:cs="Arial"/>
          <w:sz w:val="20"/>
          <w:szCs w:val="20"/>
          <w:lang w:val="en"/>
        </w:rPr>
      </w:pPr>
      <w:r w:rsidRPr="00A675D6">
        <w:rPr>
          <w:rStyle w:val="tlid-translation"/>
          <w:rFonts w:ascii="Arial" w:hAnsi="Arial" w:cs="Arial"/>
          <w:sz w:val="20"/>
          <w:szCs w:val="20"/>
          <w:lang w:val="en"/>
        </w:rPr>
        <w:t>I</w:t>
      </w:r>
      <w:r w:rsidR="00AE71C9" w:rsidRPr="00A675D6">
        <w:rPr>
          <w:rStyle w:val="tlid-translation"/>
          <w:rFonts w:ascii="Arial" w:hAnsi="Arial" w:cs="Arial"/>
          <w:sz w:val="20"/>
          <w:szCs w:val="20"/>
          <w:lang w:val="en"/>
        </w:rPr>
        <w:t xml:space="preserve">NTRODUCTION: Celiac disease is an autoimmune entity that triggers the ingestion of </w:t>
      </w:r>
      <w:proofErr w:type="spellStart"/>
      <w:r w:rsidR="00AE71C9" w:rsidRPr="00A675D6">
        <w:rPr>
          <w:rStyle w:val="tlid-translation"/>
          <w:rFonts w:ascii="Arial" w:hAnsi="Arial" w:cs="Arial"/>
          <w:sz w:val="20"/>
          <w:szCs w:val="20"/>
          <w:lang w:val="en"/>
        </w:rPr>
        <w:t>prolamins</w:t>
      </w:r>
      <w:proofErr w:type="spellEnd"/>
      <w:r w:rsidR="00AE71C9" w:rsidRPr="00A675D6">
        <w:rPr>
          <w:rStyle w:val="tlid-translation"/>
          <w:rFonts w:ascii="Arial" w:hAnsi="Arial" w:cs="Arial"/>
          <w:sz w:val="20"/>
          <w:szCs w:val="20"/>
          <w:lang w:val="en"/>
        </w:rPr>
        <w:t xml:space="preserve"> in genetically susceptible people. OBJECTIVES: To study a group of children through diagnostic means suitable for the diagnosis of Celiac disease and to specify the criteria according to the certainty of said instruments.</w:t>
      </w:r>
      <w:r w:rsidR="00AE71C9" w:rsidRPr="00A675D6">
        <w:rPr>
          <w:rStyle w:val="Textoennegrita"/>
          <w:rFonts w:ascii="Arial" w:hAnsi="Arial" w:cs="Arial"/>
          <w:sz w:val="20"/>
          <w:szCs w:val="20"/>
          <w:lang w:val="en"/>
        </w:rPr>
        <w:t xml:space="preserve"> </w:t>
      </w:r>
      <w:r w:rsidR="00AE71C9" w:rsidRPr="00A675D6">
        <w:rPr>
          <w:rStyle w:val="tlid-translation"/>
          <w:rFonts w:ascii="Arial" w:hAnsi="Arial" w:cs="Arial"/>
          <w:sz w:val="20"/>
          <w:szCs w:val="20"/>
          <w:lang w:val="en"/>
        </w:rPr>
        <w:t>METHOD: We studied 52 children who, from the clinic, involved diagnostic means such as obtaining duodenal biopsies and histological classification according to Marsh, the clinical laboratory for the determination of tissue anti-transglutaminase antibodies and the molecular biology laboratory, which determined the presence of molecules of HLA DQ2 - DQ8 as genetics of celiac disease</w:t>
      </w:r>
      <w:r w:rsidR="00AE71C9" w:rsidRPr="00A675D6">
        <w:rPr>
          <w:rStyle w:val="tlid-translation"/>
          <w:rFonts w:ascii="Arial" w:hAnsi="Arial" w:cs="Arial"/>
          <w:sz w:val="20"/>
          <w:szCs w:val="20"/>
          <w:lang w:val="en"/>
        </w:rPr>
        <w:t xml:space="preserve">. </w:t>
      </w:r>
      <w:r w:rsidR="00AE71C9" w:rsidRPr="00A675D6">
        <w:rPr>
          <w:rStyle w:val="tlid-translation"/>
          <w:rFonts w:ascii="Arial" w:hAnsi="Arial" w:cs="Arial"/>
          <w:sz w:val="20"/>
          <w:szCs w:val="20"/>
          <w:lang w:val="en"/>
        </w:rPr>
        <w:t>RESULTS: As a result, we obtained the accurate diagnosis of 26 patients with celiac disease and some important considerations to be applied in our centers. CONCLUSIONS: The use of diagnostic means is vital for the diagnostic certainty of celiac disease. Only 50% of the patients studied met the celiac criteria.</w:t>
      </w:r>
      <w:r w:rsidR="008C3F66" w:rsidRPr="00A675D6">
        <w:rPr>
          <w:rStyle w:val="tlid-translation"/>
          <w:rFonts w:ascii="Arial" w:hAnsi="Arial" w:cs="Arial"/>
          <w:sz w:val="20"/>
          <w:szCs w:val="20"/>
          <w:lang w:val="en"/>
        </w:rPr>
        <w:t xml:space="preserve">      </w:t>
      </w:r>
    </w:p>
    <w:p w:rsidR="00E532EF" w:rsidRPr="00A675D6" w:rsidRDefault="00AE71C9" w:rsidP="00AE71C9">
      <w:pPr>
        <w:spacing w:line="240" w:lineRule="auto"/>
        <w:jc w:val="both"/>
        <w:rPr>
          <w:rStyle w:val="tlid-translation"/>
          <w:rFonts w:ascii="Arial" w:hAnsi="Arial" w:cs="Arial"/>
          <w:sz w:val="20"/>
          <w:szCs w:val="20"/>
          <w:lang w:val="en"/>
        </w:rPr>
      </w:pPr>
      <w:r w:rsidRPr="00A675D6">
        <w:rPr>
          <w:rStyle w:val="tlid-translation"/>
          <w:rFonts w:ascii="Arial" w:hAnsi="Arial" w:cs="Arial"/>
          <w:sz w:val="20"/>
          <w:szCs w:val="20"/>
          <w:lang w:val="en"/>
        </w:rPr>
        <w:t>KEY WORDS: Celiac disease, diagnostic means, results.</w:t>
      </w:r>
    </w:p>
    <w:p w:rsidR="00E5496A" w:rsidRPr="0004108E" w:rsidRDefault="00E5496A">
      <w:pPr>
        <w:rPr>
          <w:rFonts w:ascii="Arial" w:hAnsi="Arial" w:cs="Arial"/>
          <w:b/>
          <w:bCs/>
          <w:sz w:val="24"/>
          <w:szCs w:val="24"/>
        </w:rPr>
      </w:pPr>
      <w:r w:rsidRPr="0004108E">
        <w:rPr>
          <w:rFonts w:ascii="Arial" w:hAnsi="Arial" w:cs="Arial"/>
          <w:b/>
          <w:bCs/>
          <w:sz w:val="24"/>
          <w:szCs w:val="24"/>
        </w:rPr>
        <w:br w:type="page"/>
      </w:r>
    </w:p>
    <w:p w:rsidR="004137E3" w:rsidRPr="006A38AF" w:rsidRDefault="00A1604E" w:rsidP="0077278E">
      <w:pPr>
        <w:spacing w:line="240" w:lineRule="auto"/>
        <w:jc w:val="both"/>
        <w:rPr>
          <w:rFonts w:ascii="Arial" w:hAnsi="Arial" w:cs="Arial"/>
          <w:b/>
          <w:bCs/>
        </w:rPr>
      </w:pPr>
      <w:r w:rsidRPr="006A38AF">
        <w:rPr>
          <w:rFonts w:ascii="Arial" w:hAnsi="Arial" w:cs="Arial"/>
          <w:b/>
          <w:bCs/>
        </w:rPr>
        <w:lastRenderedPageBreak/>
        <w:t xml:space="preserve">I- </w:t>
      </w:r>
      <w:r w:rsidR="00BE53DC" w:rsidRPr="006A38AF">
        <w:rPr>
          <w:rFonts w:ascii="Arial" w:hAnsi="Arial" w:cs="Arial"/>
          <w:b/>
          <w:bCs/>
        </w:rPr>
        <w:t>INTRODUCCIÓN:</w:t>
      </w:r>
    </w:p>
    <w:p w:rsidR="004137E3" w:rsidRPr="006A38AF" w:rsidRDefault="004137E3" w:rsidP="0077278E">
      <w:pPr>
        <w:spacing w:line="240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  <w:lang w:val="es-VE"/>
        </w:rPr>
        <w:t xml:space="preserve"> La enfermedad celiaca (EC) es una enteropatía autoinmune sensible al gluten y otras prolaminas con base genética que se genera al </w:t>
      </w:r>
      <w:r w:rsidR="006D2D92" w:rsidRPr="006A38AF">
        <w:rPr>
          <w:rFonts w:ascii="Arial" w:hAnsi="Arial" w:cs="Arial"/>
          <w:sz w:val="20"/>
          <w:szCs w:val="20"/>
          <w:lang w:val="es-VE"/>
        </w:rPr>
        <w:t>contacto del paciente con</w:t>
      </w:r>
      <w:r w:rsidRPr="006A38AF">
        <w:rPr>
          <w:rFonts w:ascii="Arial" w:hAnsi="Arial" w:cs="Arial"/>
          <w:sz w:val="20"/>
          <w:szCs w:val="20"/>
          <w:lang w:val="es-VE"/>
        </w:rPr>
        <w:t xml:space="preserve"> proteínas presentes en el trigo, la cebada y el centeno, </w:t>
      </w:r>
      <w:r w:rsidR="008B04CC" w:rsidRPr="006A38AF">
        <w:rPr>
          <w:rFonts w:ascii="Arial" w:hAnsi="Arial" w:cs="Arial"/>
          <w:sz w:val="20"/>
          <w:szCs w:val="20"/>
          <w:lang w:val="es-VE"/>
        </w:rPr>
        <w:t>que provoca</w:t>
      </w:r>
      <w:r w:rsidRPr="006A38AF">
        <w:rPr>
          <w:rFonts w:ascii="Arial" w:hAnsi="Arial" w:cs="Arial"/>
          <w:sz w:val="20"/>
          <w:szCs w:val="20"/>
          <w:lang w:val="es-VE"/>
        </w:rPr>
        <w:t xml:space="preserve"> tanto síntomas intestinales como extra intestinales.</w:t>
      </w:r>
      <w:r w:rsidRPr="006A38AF">
        <w:rPr>
          <w:rFonts w:ascii="Arial" w:hAnsi="Arial" w:cs="Arial"/>
          <w:sz w:val="20"/>
          <w:szCs w:val="20"/>
        </w:rPr>
        <w:t xml:space="preserve"> La </w:t>
      </w:r>
      <w:hyperlink r:id="rId8" w:history="1">
        <w:r w:rsidRPr="006A38A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celiaquía</w:t>
        </w:r>
      </w:hyperlink>
      <w:r w:rsidR="002B4780" w:rsidRPr="006A38AF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 (EC)</w:t>
      </w:r>
      <w:r w:rsidRPr="006A38AF">
        <w:rPr>
          <w:rFonts w:ascii="Arial" w:hAnsi="Arial" w:cs="Arial"/>
          <w:sz w:val="20"/>
          <w:szCs w:val="20"/>
        </w:rPr>
        <w:t xml:space="preserve"> es una enfermedad infradiagnosticada debido, entre otras cosas, a la gran variedad de síntomas que </w:t>
      </w:r>
      <w:r w:rsidR="006D2D92" w:rsidRPr="006A38AF">
        <w:rPr>
          <w:rFonts w:ascii="Arial" w:hAnsi="Arial" w:cs="Arial"/>
          <w:sz w:val="20"/>
          <w:szCs w:val="20"/>
        </w:rPr>
        <w:t>pueden presentar los celiacos, d</w:t>
      </w:r>
      <w:r w:rsidRPr="006A38AF">
        <w:rPr>
          <w:rFonts w:ascii="Arial" w:hAnsi="Arial" w:cs="Arial"/>
          <w:sz w:val="20"/>
          <w:szCs w:val="20"/>
        </w:rPr>
        <w:t xml:space="preserve">e hecho, se estima que entre </w:t>
      </w:r>
      <w:r w:rsidR="008B04CC" w:rsidRPr="006A38AF">
        <w:rPr>
          <w:rFonts w:ascii="Arial" w:hAnsi="Arial" w:cs="Arial"/>
          <w:sz w:val="20"/>
          <w:szCs w:val="20"/>
        </w:rPr>
        <w:t>el</w:t>
      </w:r>
      <w:r w:rsidRPr="006A38AF">
        <w:rPr>
          <w:rFonts w:ascii="Arial" w:hAnsi="Arial" w:cs="Arial"/>
          <w:sz w:val="20"/>
          <w:szCs w:val="20"/>
        </w:rPr>
        <w:t xml:space="preserve"> 80 y </w:t>
      </w:r>
      <w:r w:rsidR="008B04CC" w:rsidRPr="006A38AF">
        <w:rPr>
          <w:rFonts w:ascii="Arial" w:hAnsi="Arial" w:cs="Arial"/>
          <w:sz w:val="20"/>
          <w:szCs w:val="20"/>
        </w:rPr>
        <w:t>el</w:t>
      </w:r>
      <w:r w:rsidRPr="006A38AF">
        <w:rPr>
          <w:rFonts w:ascii="Arial" w:hAnsi="Arial" w:cs="Arial"/>
          <w:sz w:val="20"/>
          <w:szCs w:val="20"/>
        </w:rPr>
        <w:t xml:space="preserve"> 85% están aún sin diagnóstico. Los síntomas dependen de la edad del paciente y no siempre son fáciles de asociar con la </w:t>
      </w:r>
      <w:r w:rsidR="006D2D92" w:rsidRPr="006A38AF">
        <w:rPr>
          <w:rFonts w:ascii="Arial" w:hAnsi="Arial" w:cs="Arial"/>
          <w:sz w:val="20"/>
          <w:szCs w:val="20"/>
        </w:rPr>
        <w:t>EC</w:t>
      </w:r>
      <w:r w:rsidRPr="006A38AF">
        <w:rPr>
          <w:rFonts w:ascii="Arial" w:hAnsi="Arial" w:cs="Arial"/>
          <w:sz w:val="20"/>
          <w:szCs w:val="20"/>
        </w:rPr>
        <w:t>. Por eso es necesario que la información sobre l</w:t>
      </w:r>
      <w:r w:rsidR="006D2D92" w:rsidRPr="006A38AF">
        <w:rPr>
          <w:rFonts w:ascii="Arial" w:hAnsi="Arial" w:cs="Arial"/>
          <w:sz w:val="20"/>
          <w:szCs w:val="20"/>
        </w:rPr>
        <w:t>a</w:t>
      </w:r>
      <w:r w:rsidRPr="006A38AF">
        <w:rPr>
          <w:rFonts w:ascii="Arial" w:hAnsi="Arial" w:cs="Arial"/>
          <w:sz w:val="20"/>
          <w:szCs w:val="20"/>
        </w:rPr>
        <w:t xml:space="preserve">s </w:t>
      </w:r>
      <w:r w:rsidR="006D2D92" w:rsidRPr="006A38AF">
        <w:rPr>
          <w:rFonts w:ascii="Arial" w:hAnsi="Arial" w:cs="Arial"/>
          <w:sz w:val="20"/>
          <w:szCs w:val="20"/>
        </w:rPr>
        <w:t>manifestaciones clínicas</w:t>
      </w:r>
      <w:r w:rsidRPr="006A38AF">
        <w:rPr>
          <w:rFonts w:ascii="Arial" w:hAnsi="Arial" w:cs="Arial"/>
          <w:sz w:val="20"/>
          <w:szCs w:val="20"/>
        </w:rPr>
        <w:t xml:space="preserve"> llegue al mayor número posible de profesionales de la salud, tanto a los de Atención Primaria como a las distintas especialidades de la Medicina en las que puede verse </w:t>
      </w:r>
      <w:r w:rsidR="006D2D92" w:rsidRPr="006A38AF">
        <w:rPr>
          <w:rFonts w:ascii="Arial" w:hAnsi="Arial" w:cs="Arial"/>
          <w:sz w:val="20"/>
          <w:szCs w:val="20"/>
        </w:rPr>
        <w:t>esta enfermedad</w:t>
      </w:r>
      <w:r w:rsidRPr="006A38AF">
        <w:rPr>
          <w:rFonts w:ascii="Arial" w:hAnsi="Arial" w:cs="Arial"/>
          <w:sz w:val="20"/>
          <w:szCs w:val="20"/>
        </w:rPr>
        <w:t>.</w:t>
      </w:r>
      <w:r w:rsidRPr="006A38A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Las pruebas de diagnóstico de la celiaquía son </w:t>
      </w:r>
      <w:r w:rsidR="00CD4C3B" w:rsidRPr="006A38AF">
        <w:rPr>
          <w:rStyle w:val="Textoennegrita"/>
          <w:rFonts w:ascii="Arial" w:hAnsi="Arial" w:cs="Arial"/>
          <w:b w:val="0"/>
          <w:sz w:val="20"/>
          <w:szCs w:val="20"/>
        </w:rPr>
        <w:t>cuatro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que podemos agrupar en dos variantes, la clínica y los exámenes complementarios: 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1-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sintomatología clínica durante la ingestión de dieta regular y evolución clínica durante una dieta de exclusión 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>y,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por otro lado, </w:t>
      </w:r>
      <w:r w:rsidR="00CD4C3B" w:rsidRPr="006A38AF">
        <w:rPr>
          <w:rStyle w:val="Textoennegrita"/>
          <w:rFonts w:ascii="Arial" w:hAnsi="Arial" w:cs="Arial"/>
          <w:b w:val="0"/>
          <w:sz w:val="20"/>
          <w:szCs w:val="20"/>
        </w:rPr>
        <w:t>2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-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pruebas serológicas, </w:t>
      </w:r>
      <w:r w:rsidR="00CD4C3B" w:rsidRPr="006A38AF">
        <w:rPr>
          <w:rStyle w:val="Textoennegrita"/>
          <w:rFonts w:ascii="Arial" w:hAnsi="Arial" w:cs="Arial"/>
          <w:b w:val="0"/>
          <w:sz w:val="20"/>
          <w:szCs w:val="20"/>
        </w:rPr>
        <w:t>3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-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estudios genéticos y </w:t>
      </w:r>
      <w:r w:rsidR="00CD4C3B" w:rsidRPr="006A38AF">
        <w:rPr>
          <w:rStyle w:val="Textoennegrita"/>
          <w:rFonts w:ascii="Arial" w:hAnsi="Arial" w:cs="Arial"/>
          <w:b w:val="0"/>
          <w:sz w:val="20"/>
          <w:szCs w:val="20"/>
        </w:rPr>
        <w:t>4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-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diagnós</w:t>
      </w:r>
      <w:r w:rsidR="00CD4C3B" w:rsidRPr="006A38AF">
        <w:rPr>
          <w:rStyle w:val="Textoennegrita"/>
          <w:rFonts w:ascii="Arial" w:hAnsi="Arial" w:cs="Arial"/>
          <w:b w:val="0"/>
          <w:sz w:val="20"/>
          <w:szCs w:val="20"/>
        </w:rPr>
        <w:t>tico histológico y de é</w:t>
      </w:r>
      <w:r w:rsidR="00B966D1" w:rsidRPr="006A38AF">
        <w:rPr>
          <w:rStyle w:val="Textoennegrita"/>
          <w:rFonts w:ascii="Arial" w:hAnsi="Arial" w:cs="Arial"/>
          <w:b w:val="0"/>
          <w:sz w:val="20"/>
          <w:szCs w:val="20"/>
        </w:rPr>
        <w:t>s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>t</w:t>
      </w:r>
      <w:r w:rsidR="00B966D1" w:rsidRPr="006A38AF">
        <w:rPr>
          <w:rStyle w:val="Textoennegrita"/>
          <w:rFonts w:ascii="Arial" w:hAnsi="Arial" w:cs="Arial"/>
          <w:b w:val="0"/>
          <w:sz w:val="20"/>
          <w:szCs w:val="20"/>
        </w:rPr>
        <w:t>as, al menos tres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>deben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estar 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>presentes para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poder confirmar el diagnóstico de enfermedad </w:t>
      </w:r>
      <w:proofErr w:type="gramStart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celiaca.</w:t>
      </w:r>
      <w:r w:rsidR="00D73074" w:rsidRPr="006A38AF">
        <w:rPr>
          <w:rStyle w:val="Textoennegrita"/>
          <w:rFonts w:ascii="Arial" w:hAnsi="Arial" w:cs="Arial"/>
          <w:b w:val="0"/>
          <w:sz w:val="20"/>
          <w:szCs w:val="20"/>
          <w:vertAlign w:val="superscript"/>
        </w:rPr>
        <w:t>(</w:t>
      </w:r>
      <w:proofErr w:type="gramEnd"/>
      <w:r w:rsidR="00D73074" w:rsidRPr="006A38AF">
        <w:rPr>
          <w:rStyle w:val="Textoennegrita"/>
          <w:rFonts w:ascii="Arial" w:hAnsi="Arial" w:cs="Arial"/>
          <w:b w:val="0"/>
          <w:sz w:val="20"/>
          <w:szCs w:val="20"/>
          <w:vertAlign w:val="superscript"/>
        </w:rPr>
        <w:t>1)(2)(3)</w:t>
      </w:r>
    </w:p>
    <w:p w:rsidR="00CD4C3B" w:rsidRPr="006A38AF" w:rsidRDefault="004137E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Clínica: El primer paso para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diagnosticar la celiaquía</w:t>
      </w:r>
      <w:r w:rsidRPr="006A38AF">
        <w:rPr>
          <w:rStyle w:val="Textoennegrita"/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es pensar en ella y eso se hace comprendiendo la gran variedad de síntomas y manifestaciones que una persona celiaca puede presentar</w:t>
      </w:r>
      <w:r w:rsidR="006D2D92" w:rsidRPr="006A38AF">
        <w:rPr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que no son los clásicos asociados a la enfermedad. Así que la primera de las pruebas de diagnóstico de la celiaquía o el primer criterio,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es presentar una clínica sugestiva</w:t>
      </w:r>
      <w:r w:rsidR="006D2D92" w:rsidRPr="006A38AF">
        <w:rPr>
          <w:rStyle w:val="Textoennegrita"/>
          <w:rFonts w:ascii="Arial" w:hAnsi="Arial" w:cs="Arial"/>
          <w:b w:val="0"/>
          <w:sz w:val="20"/>
          <w:szCs w:val="20"/>
        </w:rPr>
        <w:t>,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ya sea con síntomas digestivos o extradigestivos</w:t>
      </w:r>
      <w:r w:rsidRPr="006A38AF">
        <w:rPr>
          <w:rFonts w:ascii="Arial" w:hAnsi="Arial" w:cs="Arial"/>
          <w:b/>
          <w:sz w:val="20"/>
          <w:szCs w:val="20"/>
        </w:rPr>
        <w:t>.</w:t>
      </w:r>
      <w:r w:rsidR="00CD4C3B" w:rsidRPr="006A38AF">
        <w:rPr>
          <w:rFonts w:ascii="Arial" w:hAnsi="Arial" w:cs="Arial"/>
          <w:b/>
          <w:sz w:val="20"/>
          <w:szCs w:val="20"/>
        </w:rPr>
        <w:t xml:space="preserve"> </w:t>
      </w:r>
      <w:r w:rsidR="00CD4C3B" w:rsidRPr="006A38AF">
        <w:rPr>
          <w:rFonts w:ascii="Arial" w:hAnsi="Arial" w:cs="Arial"/>
          <w:sz w:val="20"/>
          <w:szCs w:val="20"/>
        </w:rPr>
        <w:t>Dieta Sin Gluten (DSG): La dieta tiene que ser </w:t>
      </w:r>
      <w:r w:rsidR="00CD4C3B" w:rsidRPr="006A38AF">
        <w:rPr>
          <w:rStyle w:val="Textoennegrita"/>
          <w:rFonts w:ascii="Arial" w:hAnsi="Arial" w:cs="Arial"/>
          <w:b w:val="0"/>
          <w:sz w:val="20"/>
          <w:szCs w:val="20"/>
        </w:rPr>
        <w:t>seguida estrictamente durante un tiempo mínimo de 6 meses.</w:t>
      </w:r>
      <w:r w:rsidR="00CD4C3B" w:rsidRPr="006A38AF">
        <w:rPr>
          <w:rStyle w:val="Textoennegrita"/>
          <w:rFonts w:ascii="Arial" w:hAnsi="Arial" w:cs="Arial"/>
          <w:sz w:val="20"/>
          <w:szCs w:val="20"/>
        </w:rPr>
        <w:t> </w:t>
      </w:r>
      <w:r w:rsidR="009D2777" w:rsidRPr="006A38AF">
        <w:rPr>
          <w:rFonts w:ascii="Arial" w:hAnsi="Arial" w:cs="Arial"/>
          <w:sz w:val="20"/>
          <w:szCs w:val="20"/>
        </w:rPr>
        <w:t> Durante é</w:t>
      </w:r>
      <w:r w:rsidR="00CD4C3B" w:rsidRPr="006A38AF">
        <w:rPr>
          <w:rFonts w:ascii="Arial" w:hAnsi="Arial" w:cs="Arial"/>
          <w:sz w:val="20"/>
          <w:szCs w:val="20"/>
        </w:rPr>
        <w:t xml:space="preserve">sta y a la finalización de los seis meses de dieta sin gluten estricta suele producirse </w:t>
      </w:r>
      <w:r w:rsidR="00CD4C3B" w:rsidRPr="006A38AF">
        <w:rPr>
          <w:rStyle w:val="Textoennegrita"/>
          <w:rFonts w:ascii="Arial" w:hAnsi="Arial" w:cs="Arial"/>
          <w:b w:val="0"/>
          <w:sz w:val="20"/>
          <w:szCs w:val="20"/>
        </w:rPr>
        <w:t>una clara mejoría clínica</w:t>
      </w:r>
      <w:r w:rsidR="00CD4C3B" w:rsidRPr="006A38AF">
        <w:rPr>
          <w:rFonts w:ascii="Arial" w:hAnsi="Arial" w:cs="Arial"/>
          <w:sz w:val="20"/>
          <w:szCs w:val="20"/>
        </w:rPr>
        <w:t xml:space="preserve"> y una negativización de los anticuerpos, aunque la recuperación de la lesión inflamación intestinal tarda más en desaparecer por completo, pudiendo pasar hasta dos años en recuperarse de las </w:t>
      </w:r>
      <w:proofErr w:type="gramStart"/>
      <w:r w:rsidR="00CD4C3B" w:rsidRPr="006A38AF">
        <w:rPr>
          <w:rFonts w:ascii="Arial" w:hAnsi="Arial" w:cs="Arial"/>
          <w:sz w:val="20"/>
          <w:szCs w:val="20"/>
        </w:rPr>
        <w:t>lesiones.</w:t>
      </w:r>
      <w:r w:rsidR="00D73074" w:rsidRPr="006A38AF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D73074" w:rsidRPr="006A38AF">
        <w:rPr>
          <w:rFonts w:ascii="Arial" w:hAnsi="Arial" w:cs="Arial"/>
          <w:sz w:val="20"/>
          <w:szCs w:val="20"/>
          <w:vertAlign w:val="superscript"/>
        </w:rPr>
        <w:t>4)(5)</w:t>
      </w:r>
    </w:p>
    <w:p w:rsidR="004137E3" w:rsidRPr="006A38AF" w:rsidRDefault="004137E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Serología: De cara a la sospecha de celiaquía se procede a indicar un estudio serológico, según las posibilidades, que sería: anticuerpos antitran</w:t>
      </w:r>
      <w:r w:rsidR="00560767" w:rsidRPr="006A38AF">
        <w:rPr>
          <w:rFonts w:ascii="Arial" w:hAnsi="Arial" w:cs="Arial"/>
          <w:sz w:val="20"/>
          <w:szCs w:val="20"/>
        </w:rPr>
        <w:t>sglutaminasa tisular o αTGt, ésta</w:t>
      </w:r>
      <w:r w:rsidRPr="006A38AF">
        <w:rPr>
          <w:rFonts w:ascii="Arial" w:hAnsi="Arial" w:cs="Arial"/>
          <w:sz w:val="20"/>
          <w:szCs w:val="20"/>
        </w:rPr>
        <w:t xml:space="preserve"> de procede</w:t>
      </w:r>
      <w:r w:rsidR="00560767" w:rsidRPr="006A38AF">
        <w:rPr>
          <w:rFonts w:ascii="Arial" w:hAnsi="Arial" w:cs="Arial"/>
          <w:sz w:val="20"/>
          <w:szCs w:val="20"/>
        </w:rPr>
        <w:t>ncia nacional fabricada por el C</w:t>
      </w:r>
      <w:r w:rsidRPr="006A38AF">
        <w:rPr>
          <w:rFonts w:ascii="Arial" w:hAnsi="Arial" w:cs="Arial"/>
          <w:sz w:val="20"/>
          <w:szCs w:val="20"/>
        </w:rPr>
        <w:t xml:space="preserve">entro de </w:t>
      </w:r>
      <w:r w:rsidR="00560767" w:rsidRPr="006A38AF">
        <w:rPr>
          <w:rFonts w:ascii="Arial" w:hAnsi="Arial" w:cs="Arial"/>
          <w:sz w:val="20"/>
          <w:szCs w:val="20"/>
        </w:rPr>
        <w:t>Ingeniería Genética de Sancti Spi</w:t>
      </w:r>
      <w:r w:rsidR="009D2777" w:rsidRPr="006A38AF">
        <w:rPr>
          <w:rFonts w:ascii="Arial" w:hAnsi="Arial" w:cs="Arial"/>
          <w:sz w:val="20"/>
          <w:szCs w:val="20"/>
        </w:rPr>
        <w:t>ritus</w:t>
      </w:r>
      <w:r w:rsidRPr="006A38AF">
        <w:rPr>
          <w:rFonts w:ascii="Arial" w:hAnsi="Arial" w:cs="Arial"/>
          <w:sz w:val="20"/>
          <w:szCs w:val="20"/>
        </w:rPr>
        <w:t xml:space="preserve">. Los </w:t>
      </w:r>
      <w:hyperlink r:id="rId9" w:history="1">
        <w:r w:rsidRPr="006A38A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anticuerpos</w:t>
        </w:r>
      </w:hyperlink>
      <w:r w:rsidRPr="006A38AF">
        <w:rPr>
          <w:rFonts w:ascii="Arial" w:hAnsi="Arial" w:cs="Arial"/>
          <w:sz w:val="20"/>
          <w:szCs w:val="20"/>
        </w:rPr>
        <w:t xml:space="preserve"> pueden resultar negativos y sin embargo, ante una clínica susceptible de celiaquía, el especialista debería seguir </w:t>
      </w:r>
      <w:r w:rsidR="008B04CC" w:rsidRPr="006A38AF">
        <w:rPr>
          <w:rFonts w:ascii="Arial" w:hAnsi="Arial" w:cs="Arial"/>
          <w:sz w:val="20"/>
          <w:szCs w:val="20"/>
        </w:rPr>
        <w:t>el estudio del</w:t>
      </w:r>
      <w:r w:rsidRPr="006A38AF">
        <w:rPr>
          <w:rFonts w:ascii="Arial" w:hAnsi="Arial" w:cs="Arial"/>
          <w:sz w:val="20"/>
          <w:szCs w:val="20"/>
        </w:rPr>
        <w:t xml:space="preserve"> paciente y realiza</w:t>
      </w:r>
      <w:r w:rsidR="008B04CC" w:rsidRPr="006A38AF">
        <w:rPr>
          <w:rFonts w:ascii="Arial" w:hAnsi="Arial" w:cs="Arial"/>
          <w:sz w:val="20"/>
          <w:szCs w:val="20"/>
        </w:rPr>
        <w:t xml:space="preserve">r </w:t>
      </w:r>
      <w:r w:rsidRPr="006A38AF">
        <w:rPr>
          <w:rFonts w:ascii="Arial" w:hAnsi="Arial" w:cs="Arial"/>
          <w:sz w:val="20"/>
          <w:szCs w:val="20"/>
        </w:rPr>
        <w:t>más pruebas de diagnóstico. Esta serología tiene también el valor de poder ser usada en la comprobación del tratamiento de</w:t>
      </w:r>
      <w:r w:rsidR="00C92BBF" w:rsidRPr="006A38AF">
        <w:rPr>
          <w:rFonts w:ascii="Arial" w:hAnsi="Arial" w:cs="Arial"/>
          <w:sz w:val="20"/>
          <w:szCs w:val="20"/>
        </w:rPr>
        <w:t xml:space="preserve"> restricción dietética o DSG</w:t>
      </w:r>
      <w:r w:rsidRPr="006A38AF">
        <w:rPr>
          <w:rFonts w:ascii="Arial" w:hAnsi="Arial" w:cs="Arial"/>
          <w:sz w:val="20"/>
          <w:szCs w:val="20"/>
        </w:rPr>
        <w:t xml:space="preserve"> y marcan la diferencia en cuestiones de violación o contaminación de la </w:t>
      </w:r>
      <w:proofErr w:type="gramStart"/>
      <w:r w:rsidRPr="006A38AF">
        <w:rPr>
          <w:rFonts w:ascii="Arial" w:hAnsi="Arial" w:cs="Arial"/>
          <w:sz w:val="20"/>
          <w:szCs w:val="20"/>
        </w:rPr>
        <w:t>misma</w:t>
      </w:r>
      <w:r w:rsidR="00C92BBF" w:rsidRPr="006A38AF">
        <w:rPr>
          <w:rFonts w:ascii="Arial" w:hAnsi="Arial" w:cs="Arial"/>
          <w:sz w:val="20"/>
          <w:szCs w:val="20"/>
        </w:rPr>
        <w:t>.</w:t>
      </w:r>
      <w:r w:rsidR="00A84095" w:rsidRPr="006A38AF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A84095" w:rsidRPr="006A38AF">
        <w:rPr>
          <w:rFonts w:ascii="Arial" w:hAnsi="Arial" w:cs="Arial"/>
          <w:sz w:val="20"/>
          <w:szCs w:val="20"/>
          <w:vertAlign w:val="superscript"/>
        </w:rPr>
        <w:t>6)(7)(8)(9)(10)</w:t>
      </w:r>
    </w:p>
    <w:p w:rsidR="004137E3" w:rsidRPr="006A38AF" w:rsidRDefault="004137E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eastAsia="Times New Roman" w:hAnsi="Arial" w:cs="Arial"/>
          <w:bCs/>
          <w:sz w:val="20"/>
          <w:szCs w:val="20"/>
          <w:lang w:eastAsia="es-ES_tradnl"/>
        </w:rPr>
        <w:t xml:space="preserve">Pruebas genéticas: </w:t>
      </w:r>
      <w:r w:rsidRPr="006A38AF">
        <w:rPr>
          <w:rFonts w:ascii="Arial" w:hAnsi="Arial" w:cs="Arial"/>
          <w:sz w:val="20"/>
          <w:szCs w:val="20"/>
        </w:rPr>
        <w:t xml:space="preserve">Los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marcadores genéticos son otras de las pruebas fundamentales de diagnóstico de la celiaquía</w:t>
      </w:r>
      <w:r w:rsidRPr="006A38AF">
        <w:rPr>
          <w:rStyle w:val="Textoennegrita"/>
          <w:rFonts w:ascii="Arial" w:hAnsi="Arial" w:cs="Arial"/>
          <w:sz w:val="20"/>
          <w:szCs w:val="20"/>
        </w:rPr>
        <w:t>.</w:t>
      </w:r>
      <w:r w:rsidRPr="006A38AF">
        <w:rPr>
          <w:rFonts w:ascii="Arial" w:hAnsi="Arial" w:cs="Arial"/>
          <w:sz w:val="20"/>
          <w:szCs w:val="20"/>
        </w:rPr>
        <w:t xml:space="preserve"> La celiaquía requiere de predisposición genética para llegar a desarrollarse y actualmente son dos </w:t>
      </w:r>
      <w:r w:rsidR="009D2777" w:rsidRPr="006A38AF">
        <w:rPr>
          <w:rFonts w:ascii="Arial" w:hAnsi="Arial" w:cs="Arial"/>
          <w:sz w:val="20"/>
          <w:szCs w:val="20"/>
        </w:rPr>
        <w:t>alelos</w:t>
      </w:r>
      <w:r w:rsidRPr="006A38AF">
        <w:rPr>
          <w:rFonts w:ascii="Arial" w:hAnsi="Arial" w:cs="Arial"/>
          <w:sz w:val="20"/>
          <w:szCs w:val="20"/>
        </w:rPr>
        <w:t xml:space="preserve"> del sistema HLA los que señalan una relación directa con la enfermedad.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Éstos son el DQ</w:t>
      </w:r>
      <w:r w:rsidRPr="006A38AF">
        <w:rPr>
          <w:rStyle w:val="Textoennegrita"/>
          <w:rFonts w:ascii="Arial" w:hAnsi="Arial" w:cs="Arial"/>
          <w:b w:val="0"/>
          <w:sz w:val="20"/>
          <w:szCs w:val="20"/>
          <w:vertAlign w:val="subscript"/>
        </w:rPr>
        <w:t>2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, presente en casi el 90% de los celiacos, el DQ</w:t>
      </w:r>
      <w:r w:rsidRPr="006A38AF">
        <w:rPr>
          <w:rStyle w:val="Textoennegrita"/>
          <w:rFonts w:ascii="Arial" w:hAnsi="Arial" w:cs="Arial"/>
          <w:b w:val="0"/>
          <w:sz w:val="20"/>
          <w:szCs w:val="20"/>
          <w:vertAlign w:val="subscript"/>
        </w:rPr>
        <w:t>8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, que aparece casi en un 5 % de los celiacos.</w:t>
      </w:r>
      <w:r w:rsidRPr="006A38AF">
        <w:rPr>
          <w:rFonts w:ascii="Arial" w:hAnsi="Arial" w:cs="Arial"/>
          <w:sz w:val="20"/>
          <w:szCs w:val="20"/>
        </w:rPr>
        <w:t xml:space="preserve"> Sin embargo, los últimos estudios del genoma humano señalan que podría haber muchos más genes implicados en el desarrollo de la celiaquía.</w:t>
      </w:r>
    </w:p>
    <w:p w:rsidR="004137E3" w:rsidRPr="006A38AF" w:rsidRDefault="004137E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La </w:t>
      </w:r>
      <w:hyperlink r:id="rId10" w:history="1">
        <w:r w:rsidRPr="006A38A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 xml:space="preserve">prueba genética de celiaquía </w:t>
        </w:r>
      </w:hyperlink>
      <w:r w:rsidRPr="006A38AF">
        <w:rPr>
          <w:rFonts w:ascii="Arial" w:hAnsi="Arial" w:cs="Arial"/>
          <w:sz w:val="20"/>
          <w:szCs w:val="20"/>
        </w:rPr>
        <w:t>nos ayudará a confirmar el diagnóstico, en el caso de que haya más pruebas positivas, pero por sí sola no puede diagnosticar ya que simplemente significa que</w:t>
      </w:r>
      <w:r w:rsidR="00523230" w:rsidRPr="006A38AF">
        <w:rPr>
          <w:rFonts w:ascii="Arial" w:hAnsi="Arial" w:cs="Arial"/>
          <w:sz w:val="20"/>
          <w:szCs w:val="20"/>
        </w:rPr>
        <w:t xml:space="preserve"> existe riesgo de desarrollarla</w:t>
      </w:r>
      <w:r w:rsidRPr="006A38AF">
        <w:rPr>
          <w:rFonts w:ascii="Arial" w:hAnsi="Arial" w:cs="Arial"/>
          <w:sz w:val="20"/>
          <w:szCs w:val="20"/>
        </w:rPr>
        <w:t xml:space="preserve">, más del 30% de la población tiene genética compatible con enfermedad celiaca, pero sólo entre un 1 y un 2% desarrolla la enfermedad. Sin embargo, si la prueba genética es negativa, podemos descartar en 99% la </w:t>
      </w:r>
      <w:proofErr w:type="gramStart"/>
      <w:r w:rsidRPr="006A38AF">
        <w:rPr>
          <w:rFonts w:ascii="Arial" w:hAnsi="Arial" w:cs="Arial"/>
          <w:sz w:val="20"/>
          <w:szCs w:val="20"/>
        </w:rPr>
        <w:t>celiaquía.</w:t>
      </w:r>
      <w:r w:rsidR="00A84095" w:rsidRPr="006A38AF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A84095" w:rsidRPr="006A38AF">
        <w:rPr>
          <w:rFonts w:ascii="Arial" w:hAnsi="Arial" w:cs="Arial"/>
          <w:sz w:val="20"/>
          <w:szCs w:val="20"/>
          <w:vertAlign w:val="superscript"/>
        </w:rPr>
        <w:t>11)(12)</w:t>
      </w:r>
    </w:p>
    <w:p w:rsidR="004137E3" w:rsidRDefault="004137E3" w:rsidP="0077278E">
      <w:pPr>
        <w:spacing w:line="240" w:lineRule="auto"/>
        <w:jc w:val="both"/>
        <w:rPr>
          <w:rStyle w:val="Textoennegrita"/>
          <w:rFonts w:ascii="Arial" w:hAnsi="Arial" w:cs="Arial"/>
          <w:b w:val="0"/>
          <w:sz w:val="20"/>
          <w:szCs w:val="20"/>
          <w:vertAlign w:val="superscript"/>
        </w:rPr>
      </w:pPr>
      <w:r w:rsidRPr="006A38AF">
        <w:rPr>
          <w:rFonts w:ascii="Arial" w:hAnsi="Arial" w:cs="Arial"/>
          <w:sz w:val="20"/>
          <w:szCs w:val="20"/>
        </w:rPr>
        <w:t>Biopsia: Estándar de oro para el diagnóstico</w:t>
      </w:r>
      <w:r w:rsidR="00523230" w:rsidRPr="006A38AF">
        <w:rPr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debe ser realizada si hay una sintomatología susceptible de celiaquía, una serología positiva o negativa y una genética compatible. Es fundamental hacerla siempre que hay sospecha para poder determinar con precisión si hay celiaquía y cuál es el grado de lesión del intestino. Para determinar el grado de lesión del intestino se sigue la</w:t>
      </w:r>
      <w:hyperlink r:id="rId11" w:history="1">
        <w:r w:rsidRPr="006A38A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 xml:space="preserve"> clasificación</w:t>
        </w:r>
        <w:r w:rsidR="00105223" w:rsidRPr="006A38A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 xml:space="preserve"> de</w:t>
        </w:r>
        <w:r w:rsidRPr="006A38AF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 xml:space="preserve"> Marsh</w:t>
        </w:r>
      </w:hyperlink>
      <w:r w:rsidRPr="006A38AF">
        <w:rPr>
          <w:rFonts w:ascii="Arial" w:hAnsi="Arial" w:cs="Arial"/>
          <w:sz w:val="20"/>
          <w:szCs w:val="20"/>
        </w:rPr>
        <w:t>, que toma el nombre del Dr. 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Michael Marsh, médico inglés, que en </w:t>
      </w:r>
      <w:r w:rsidR="00523230" w:rsidRPr="006A38AF">
        <w:rPr>
          <w:rStyle w:val="Textoennegrita"/>
          <w:rFonts w:ascii="Arial" w:hAnsi="Arial" w:cs="Arial"/>
          <w:b w:val="0"/>
          <w:sz w:val="20"/>
          <w:szCs w:val="20"/>
        </w:rPr>
        <w:t>e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l año 1992</w:t>
      </w:r>
      <w:r w:rsidRPr="006A38AF">
        <w:rPr>
          <w:rFonts w:ascii="Arial" w:hAnsi="Arial" w:cs="Arial"/>
          <w:b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publicó una clasificación anatomo-patológica de las biopsias duodenales en esta entidad, que se sigue aplicando de forma rutinaria a nivel mundial. Su gran acierto fue</w:t>
      </w:r>
      <w:r w:rsidRPr="006A38A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la inclusión por primera vez de otras lesiones inflamatorias, que cursan sin atrofia vellositaria dentro de la enfermedad celíaca. Y que debe ser repetida después de</w:t>
      </w:r>
      <w:r w:rsidR="008B04CC"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un</w:t>
      </w: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año de tratamiento dietético, sobre todo si no contamos con los demás </w:t>
      </w:r>
      <w:proofErr w:type="gramStart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marcadores.</w:t>
      </w:r>
      <w:r w:rsidR="00A84095" w:rsidRPr="006A38AF">
        <w:rPr>
          <w:rStyle w:val="Textoennegrita"/>
          <w:rFonts w:ascii="Arial" w:hAnsi="Arial" w:cs="Arial"/>
          <w:b w:val="0"/>
          <w:sz w:val="20"/>
          <w:szCs w:val="20"/>
          <w:vertAlign w:val="superscript"/>
        </w:rPr>
        <w:t>(</w:t>
      </w:r>
      <w:proofErr w:type="gramEnd"/>
      <w:r w:rsidR="00A84095" w:rsidRPr="006A38AF">
        <w:rPr>
          <w:rStyle w:val="Textoennegrita"/>
          <w:rFonts w:ascii="Arial" w:hAnsi="Arial" w:cs="Arial"/>
          <w:b w:val="0"/>
          <w:sz w:val="20"/>
          <w:szCs w:val="20"/>
          <w:vertAlign w:val="superscript"/>
        </w:rPr>
        <w:t>13)(14)(15)</w:t>
      </w:r>
    </w:p>
    <w:p w:rsidR="004137E3" w:rsidRPr="006A38AF" w:rsidRDefault="004137E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lastRenderedPageBreak/>
        <w:t>Como vemos esta entidad necesita del concurs</w:t>
      </w:r>
      <w:r w:rsidR="00BC20DE" w:rsidRPr="006A38AF">
        <w:rPr>
          <w:rFonts w:ascii="Arial" w:hAnsi="Arial" w:cs="Arial"/>
          <w:sz w:val="20"/>
          <w:szCs w:val="20"/>
        </w:rPr>
        <w:t>o multidisciplinario de varios m</w:t>
      </w:r>
      <w:r w:rsidRPr="006A38AF">
        <w:rPr>
          <w:rFonts w:ascii="Arial" w:hAnsi="Arial" w:cs="Arial"/>
          <w:sz w:val="20"/>
          <w:szCs w:val="20"/>
        </w:rPr>
        <w:t>edios diagnósticos como son Labor</w:t>
      </w:r>
      <w:r w:rsidR="00BC20DE" w:rsidRPr="006A38AF">
        <w:rPr>
          <w:rFonts w:ascii="Arial" w:hAnsi="Arial" w:cs="Arial"/>
          <w:sz w:val="20"/>
          <w:szCs w:val="20"/>
        </w:rPr>
        <w:t>atorio Clínico, Laboratorio de Anatomía P</w:t>
      </w:r>
      <w:r w:rsidRPr="006A38AF">
        <w:rPr>
          <w:rFonts w:ascii="Arial" w:hAnsi="Arial" w:cs="Arial"/>
          <w:sz w:val="20"/>
          <w:szCs w:val="20"/>
        </w:rPr>
        <w:t>a</w:t>
      </w:r>
      <w:r w:rsidR="00BC20DE" w:rsidRPr="006A38AF">
        <w:rPr>
          <w:rFonts w:ascii="Arial" w:hAnsi="Arial" w:cs="Arial"/>
          <w:sz w:val="20"/>
          <w:szCs w:val="20"/>
        </w:rPr>
        <w:t>tología, Laboratorio de Biología M</w:t>
      </w:r>
      <w:r w:rsidRPr="006A38AF">
        <w:rPr>
          <w:rFonts w:ascii="Arial" w:hAnsi="Arial" w:cs="Arial"/>
          <w:sz w:val="20"/>
          <w:szCs w:val="20"/>
        </w:rPr>
        <w:t>olecular</w:t>
      </w:r>
      <w:r w:rsidR="00BC20DE" w:rsidRPr="006A38AF">
        <w:rPr>
          <w:rFonts w:ascii="Arial" w:hAnsi="Arial" w:cs="Arial"/>
          <w:sz w:val="20"/>
          <w:szCs w:val="20"/>
        </w:rPr>
        <w:t>.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BC20DE" w:rsidRPr="006A38AF">
        <w:rPr>
          <w:rFonts w:ascii="Arial" w:hAnsi="Arial" w:cs="Arial"/>
          <w:sz w:val="20"/>
          <w:szCs w:val="20"/>
        </w:rPr>
        <w:t>E</w:t>
      </w:r>
      <w:r w:rsidRPr="006A38AF">
        <w:rPr>
          <w:rFonts w:ascii="Arial" w:hAnsi="Arial" w:cs="Arial"/>
          <w:sz w:val="20"/>
          <w:szCs w:val="20"/>
        </w:rPr>
        <w:t>n este trabajo mostraremos el uso de ellos en el diagnóstico de la Enfermedad Celiaca</w:t>
      </w:r>
      <w:r w:rsidR="007A1F81" w:rsidRPr="006A38AF">
        <w:rPr>
          <w:rFonts w:ascii="Arial" w:hAnsi="Arial" w:cs="Arial"/>
          <w:sz w:val="20"/>
          <w:szCs w:val="20"/>
        </w:rPr>
        <w:t>.</w:t>
      </w:r>
    </w:p>
    <w:p w:rsidR="009A633F" w:rsidRPr="006A38AF" w:rsidRDefault="00DC066A" w:rsidP="0077278E">
      <w:pPr>
        <w:spacing w:line="240" w:lineRule="auto"/>
        <w:jc w:val="both"/>
        <w:rPr>
          <w:rFonts w:ascii="Arial" w:hAnsi="Arial" w:cs="Arial"/>
          <w:b/>
        </w:rPr>
      </w:pPr>
      <w:r w:rsidRPr="006A38AF">
        <w:rPr>
          <w:rFonts w:ascii="Arial" w:hAnsi="Arial" w:cs="Arial"/>
          <w:b/>
        </w:rPr>
        <w:t xml:space="preserve">II- </w:t>
      </w:r>
      <w:r w:rsidR="00BC20DE" w:rsidRPr="006A38AF">
        <w:rPr>
          <w:rFonts w:ascii="Arial" w:hAnsi="Arial" w:cs="Arial"/>
          <w:b/>
        </w:rPr>
        <w:t xml:space="preserve">MATERIALES Y MÉTODO </w:t>
      </w:r>
    </w:p>
    <w:p w:rsidR="004137E3" w:rsidRPr="006A38AF" w:rsidRDefault="004137E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Se estudiaron 52 niños que acudieron a la consulta de Gastroenterología del Hospital </w:t>
      </w:r>
      <w:r w:rsidR="00666ECA" w:rsidRPr="006A38AF">
        <w:rPr>
          <w:rFonts w:ascii="Arial" w:hAnsi="Arial" w:cs="Arial"/>
          <w:sz w:val="20"/>
          <w:szCs w:val="20"/>
        </w:rPr>
        <w:t>Docente Universitario</w:t>
      </w:r>
      <w:r w:rsidRPr="006A38AF">
        <w:rPr>
          <w:rFonts w:ascii="Arial" w:hAnsi="Arial" w:cs="Arial"/>
          <w:sz w:val="20"/>
          <w:szCs w:val="20"/>
        </w:rPr>
        <w:t xml:space="preserve"> William Soler</w:t>
      </w:r>
      <w:r w:rsidR="00570B1B" w:rsidRPr="006A38AF">
        <w:rPr>
          <w:rFonts w:ascii="Arial" w:hAnsi="Arial" w:cs="Arial"/>
          <w:sz w:val="20"/>
          <w:szCs w:val="20"/>
        </w:rPr>
        <w:t xml:space="preserve"> (HWD) en el perí</w:t>
      </w:r>
      <w:r w:rsidRPr="006A38AF">
        <w:rPr>
          <w:rFonts w:ascii="Arial" w:hAnsi="Arial" w:cs="Arial"/>
          <w:sz w:val="20"/>
          <w:szCs w:val="20"/>
        </w:rPr>
        <w:t xml:space="preserve">odo de </w:t>
      </w:r>
      <w:r w:rsidR="00666ECA" w:rsidRPr="006A38AF">
        <w:rPr>
          <w:rFonts w:ascii="Arial" w:hAnsi="Arial" w:cs="Arial"/>
          <w:sz w:val="20"/>
          <w:szCs w:val="20"/>
        </w:rPr>
        <w:t>enero</w:t>
      </w:r>
      <w:r w:rsidRPr="006A38AF">
        <w:rPr>
          <w:rFonts w:ascii="Arial" w:hAnsi="Arial" w:cs="Arial"/>
          <w:sz w:val="20"/>
          <w:szCs w:val="20"/>
        </w:rPr>
        <w:t xml:space="preserve"> 2017 a </w:t>
      </w:r>
      <w:r w:rsidR="00666ECA" w:rsidRPr="006A38AF">
        <w:rPr>
          <w:rFonts w:ascii="Arial" w:hAnsi="Arial" w:cs="Arial"/>
          <w:sz w:val="20"/>
          <w:szCs w:val="20"/>
        </w:rPr>
        <w:t>diciembre</w:t>
      </w:r>
      <w:r w:rsidRPr="006A38AF">
        <w:rPr>
          <w:rFonts w:ascii="Arial" w:hAnsi="Arial" w:cs="Arial"/>
          <w:sz w:val="20"/>
          <w:szCs w:val="20"/>
        </w:rPr>
        <w:t xml:space="preserve"> 2018</w:t>
      </w:r>
      <w:r w:rsidR="00E444CE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 xml:space="preserve">con sintomatología compatible con Enfermedad Celiaca como </w:t>
      </w:r>
      <w:r w:rsidR="00313C7E" w:rsidRPr="006A38AF">
        <w:rPr>
          <w:rFonts w:ascii="Arial" w:hAnsi="Arial" w:cs="Arial"/>
          <w:sz w:val="20"/>
          <w:szCs w:val="20"/>
        </w:rPr>
        <w:t>fueron,</w:t>
      </w:r>
      <w:r w:rsidR="00666ECA" w:rsidRPr="006A38AF">
        <w:rPr>
          <w:rFonts w:ascii="Arial" w:hAnsi="Arial" w:cs="Arial"/>
          <w:sz w:val="20"/>
          <w:szCs w:val="20"/>
        </w:rPr>
        <w:t xml:space="preserve"> a</w:t>
      </w:r>
      <w:r w:rsidRPr="006A38AF">
        <w:rPr>
          <w:rFonts w:ascii="Arial" w:hAnsi="Arial" w:cs="Arial"/>
          <w:sz w:val="20"/>
          <w:szCs w:val="20"/>
        </w:rPr>
        <w:t xml:space="preserve">specto </w:t>
      </w:r>
      <w:r w:rsidR="00313C7E" w:rsidRPr="006A38AF">
        <w:rPr>
          <w:rFonts w:ascii="Arial" w:hAnsi="Arial" w:cs="Arial"/>
          <w:sz w:val="20"/>
          <w:szCs w:val="20"/>
        </w:rPr>
        <w:t>delgado, retraso</w:t>
      </w:r>
      <w:r w:rsidRPr="006A38AF">
        <w:rPr>
          <w:rFonts w:ascii="Arial" w:hAnsi="Arial" w:cs="Arial"/>
          <w:sz w:val="20"/>
          <w:szCs w:val="20"/>
        </w:rPr>
        <w:t xml:space="preserve"> en el </w:t>
      </w:r>
      <w:r w:rsidR="00313C7E" w:rsidRPr="006A38AF">
        <w:rPr>
          <w:rFonts w:ascii="Arial" w:hAnsi="Arial" w:cs="Arial"/>
          <w:sz w:val="20"/>
          <w:szCs w:val="20"/>
        </w:rPr>
        <w:t>crecimiento,</w:t>
      </w:r>
      <w:r w:rsidRPr="006A38AF">
        <w:rPr>
          <w:rFonts w:ascii="Arial" w:hAnsi="Arial" w:cs="Arial"/>
          <w:sz w:val="20"/>
          <w:szCs w:val="20"/>
        </w:rPr>
        <w:t xml:space="preserve"> dist</w:t>
      </w:r>
      <w:r w:rsidR="00E444CE" w:rsidRPr="006A38AF">
        <w:rPr>
          <w:rFonts w:ascii="Arial" w:hAnsi="Arial" w:cs="Arial"/>
          <w:sz w:val="20"/>
          <w:szCs w:val="20"/>
        </w:rPr>
        <w:t>ención abdominal, palidez mucosa</w:t>
      </w:r>
      <w:r w:rsidRPr="006A38AF">
        <w:rPr>
          <w:rFonts w:ascii="Arial" w:hAnsi="Arial" w:cs="Arial"/>
          <w:sz w:val="20"/>
          <w:szCs w:val="20"/>
        </w:rPr>
        <w:t xml:space="preserve"> y otros</w:t>
      </w:r>
      <w:r w:rsidR="00666ECA" w:rsidRPr="006A38AF">
        <w:rPr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además que dieran su consentimiento a participar en el estudio</w:t>
      </w:r>
      <w:r w:rsidR="00666ECA" w:rsidRPr="006A38AF">
        <w:rPr>
          <w:rFonts w:ascii="Arial" w:hAnsi="Arial" w:cs="Arial"/>
          <w:sz w:val="20"/>
          <w:szCs w:val="20"/>
        </w:rPr>
        <w:t>.</w:t>
      </w:r>
      <w:r w:rsidRPr="006A38AF">
        <w:rPr>
          <w:rFonts w:ascii="Arial" w:hAnsi="Arial" w:cs="Arial"/>
          <w:sz w:val="20"/>
          <w:szCs w:val="20"/>
        </w:rPr>
        <w:t xml:space="preserve"> </w:t>
      </w:r>
    </w:p>
    <w:p w:rsidR="00313C7E" w:rsidRPr="006A38AF" w:rsidRDefault="004137E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 Para ello se </w:t>
      </w:r>
      <w:r w:rsidR="00666ECA" w:rsidRPr="006A38AF">
        <w:rPr>
          <w:rFonts w:ascii="Arial" w:hAnsi="Arial" w:cs="Arial"/>
          <w:sz w:val="20"/>
          <w:szCs w:val="20"/>
        </w:rPr>
        <w:t>confeccionó</w:t>
      </w:r>
      <w:r w:rsidRPr="006A38AF">
        <w:rPr>
          <w:rFonts w:ascii="Arial" w:hAnsi="Arial" w:cs="Arial"/>
          <w:sz w:val="20"/>
          <w:szCs w:val="20"/>
        </w:rPr>
        <w:t xml:space="preserve"> un algoritmo de trabajo en el cua</w:t>
      </w:r>
      <w:r w:rsidR="00313C7E" w:rsidRPr="006A38AF">
        <w:rPr>
          <w:rFonts w:ascii="Arial" w:hAnsi="Arial" w:cs="Arial"/>
          <w:sz w:val="20"/>
          <w:szCs w:val="20"/>
        </w:rPr>
        <w:t>l implicamos un grupo de procederes de nuestros Medios Diagnósticos que</w:t>
      </w:r>
      <w:r w:rsidRPr="006A38AF">
        <w:rPr>
          <w:rFonts w:ascii="Arial" w:hAnsi="Arial" w:cs="Arial"/>
          <w:sz w:val="20"/>
          <w:szCs w:val="20"/>
        </w:rPr>
        <w:t xml:space="preserve"> tributan con </w:t>
      </w:r>
      <w:r w:rsidR="00313C7E" w:rsidRPr="006A38AF">
        <w:rPr>
          <w:rFonts w:ascii="Arial" w:hAnsi="Arial" w:cs="Arial"/>
          <w:sz w:val="20"/>
          <w:szCs w:val="20"/>
        </w:rPr>
        <w:t>su resultado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570B1B" w:rsidRPr="006A38AF">
        <w:rPr>
          <w:rFonts w:ascii="Arial" w:hAnsi="Arial" w:cs="Arial"/>
          <w:sz w:val="20"/>
          <w:szCs w:val="20"/>
        </w:rPr>
        <w:t>al diagnóstico de la EC.</w:t>
      </w:r>
      <w:r w:rsidR="00313C7E" w:rsidRPr="006A38AF">
        <w:rPr>
          <w:rFonts w:ascii="Arial" w:hAnsi="Arial" w:cs="Arial"/>
          <w:sz w:val="20"/>
          <w:szCs w:val="20"/>
        </w:rPr>
        <w:t xml:space="preserve"> </w:t>
      </w:r>
      <w:r w:rsidR="00570B1B" w:rsidRPr="006A38AF">
        <w:rPr>
          <w:rFonts w:ascii="Arial" w:hAnsi="Arial" w:cs="Arial"/>
          <w:sz w:val="20"/>
          <w:szCs w:val="20"/>
        </w:rPr>
        <w:t>D</w:t>
      </w:r>
      <w:r w:rsidR="00313C7E" w:rsidRPr="006A38AF">
        <w:rPr>
          <w:rFonts w:ascii="Arial" w:hAnsi="Arial" w:cs="Arial"/>
          <w:sz w:val="20"/>
          <w:szCs w:val="20"/>
        </w:rPr>
        <w:t>ebido a la etiología de la enfermedad y su expresión en diferentes órganos y sistemas se hace necesario aunar todos estos resultados y evitar el sub diagnóstico de la misma.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D69DD" w:rsidRPr="006A38AF" w:rsidTr="00DC066A">
        <w:trPr>
          <w:jc w:val="center"/>
        </w:trPr>
        <w:tc>
          <w:tcPr>
            <w:tcW w:w="8494" w:type="dxa"/>
          </w:tcPr>
          <w:p w:rsidR="009D69DD" w:rsidRPr="006A38AF" w:rsidRDefault="00D50B3B" w:rsidP="00AF38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1258F9" w:rsidRPr="006A38A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6A3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3C17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AF384A" w:rsidRPr="006A3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108E" w:rsidRPr="006A38A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F384A" w:rsidRPr="006A3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9DD" w:rsidRPr="006A38AF">
              <w:rPr>
                <w:rFonts w:ascii="Arial" w:hAnsi="Arial" w:cs="Arial"/>
                <w:b/>
                <w:sz w:val="20"/>
                <w:szCs w:val="20"/>
              </w:rPr>
              <w:t>CONSULTA DE GASTROENTEROLOGIA</w:t>
            </w:r>
          </w:p>
        </w:tc>
      </w:tr>
    </w:tbl>
    <w:p w:rsidR="009D69DD" w:rsidRPr="006A38AF" w:rsidRDefault="00AF384A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F3178" wp14:editId="5699819D">
                <wp:simplePos x="0" y="0"/>
                <wp:positionH relativeFrom="column">
                  <wp:posOffset>2749550</wp:posOffset>
                </wp:positionH>
                <wp:positionV relativeFrom="paragraph">
                  <wp:posOffset>31116</wp:posOffset>
                </wp:positionV>
                <wp:extent cx="297815" cy="251460"/>
                <wp:effectExtent l="19050" t="0" r="26035" b="3429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5146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D8B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" o:spid="_x0000_s1026" type="#_x0000_t67" style="position:absolute;margin-left:216.5pt;margin-top:2.45pt;width:23.4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" adj="10800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9D69DD" w:rsidRPr="006A38AF" w:rsidTr="00DC066A">
        <w:trPr>
          <w:jc w:val="center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:rsidR="009D69DD" w:rsidRPr="006A38AF" w:rsidRDefault="00D50B3B" w:rsidP="00AF38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252A5B" w:rsidRPr="006A3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108E" w:rsidRPr="006A3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3C17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04108E" w:rsidRPr="006A38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F384A" w:rsidRPr="006A3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9DD" w:rsidRPr="006A38AF">
              <w:rPr>
                <w:rFonts w:ascii="Arial" w:hAnsi="Arial" w:cs="Arial"/>
                <w:b/>
                <w:sz w:val="20"/>
                <w:szCs w:val="20"/>
              </w:rPr>
              <w:t>NIÑOS CON CLINICA DE ENFERMEDAD CELIACA</w:t>
            </w:r>
          </w:p>
        </w:tc>
      </w:tr>
    </w:tbl>
    <w:p w:rsidR="009D69DD" w:rsidRPr="006A38AF" w:rsidRDefault="0004108E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C8F4D" wp14:editId="07E242BD">
                <wp:simplePos x="0" y="0"/>
                <wp:positionH relativeFrom="column">
                  <wp:posOffset>2833370</wp:posOffset>
                </wp:positionH>
                <wp:positionV relativeFrom="paragraph">
                  <wp:posOffset>27305</wp:posOffset>
                </wp:positionV>
                <wp:extent cx="66675" cy="236220"/>
                <wp:effectExtent l="19050" t="0" r="47625" b="3048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3622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9BE9" id="Flecha abajo 7" o:spid="_x0000_s1026" type="#_x0000_t67" style="position:absolute;margin-left:223.1pt;margin-top:2.15pt;width:5.25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" adj="18552" filled="f" strokecolor="black [3213]" strokeweight="1pt"/>
            </w:pict>
          </mc:Fallback>
        </mc:AlternateContent>
      </w:r>
      <w:r w:rsidR="001258F9" w:rsidRPr="006A38AF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0013E" wp14:editId="51CC571A">
                <wp:simplePos x="0" y="0"/>
                <wp:positionH relativeFrom="margin">
                  <wp:posOffset>2760498</wp:posOffset>
                </wp:positionH>
                <wp:positionV relativeFrom="paragraph">
                  <wp:posOffset>31630</wp:posOffset>
                </wp:positionV>
                <wp:extent cx="239636" cy="262963"/>
                <wp:effectExtent l="38100" t="19050" r="8255" b="0"/>
                <wp:wrapNone/>
                <wp:docPr id="6" name="Flecha izquierda y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4247">
                          <a:off x="0" y="0"/>
                          <a:ext cx="239636" cy="262963"/>
                        </a:xfrm>
                        <a:prstGeom prst="left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A572" id="Flecha izquierda y arriba 6" o:spid="_x0000_s1026" style="position:absolute;margin-left:217.35pt;margin-top:2.5pt;width:18.85pt;height:20.7pt;rotation:-8995638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9636,26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" path="m,203054l59909,143145r,29955l149773,173100r,-113191l119818,59909,179727,r59909,59909l209682,59909r,173100l59909,233009r,29954l,203054xe" filled="f" strokecolor="black [3213]" strokeweight="1pt">
                <v:stroke joinstyle="miter"/>
                <v:path arrowok="t" o:connecttype="custom" o:connectlocs="0,203054;59909,143145;59909,173100;149773,173100;149773,59909;119818,59909;179727,0;239636,59909;209682,59909;209682,233009;59909,233009;59909,262963;0,203054" o:connectangles="0,0,0,0,0,0,0,0,0,0,0,0,0"/>
                <w10:wrap anchorx="margin"/>
              </v:shape>
            </w:pict>
          </mc:Fallback>
        </mc:AlternateContent>
      </w: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835"/>
      </w:tblGrid>
      <w:tr w:rsidR="00BD483C" w:rsidRPr="006A38AF" w:rsidTr="00AF384A">
        <w:tc>
          <w:tcPr>
            <w:tcW w:w="2835" w:type="dxa"/>
          </w:tcPr>
          <w:p w:rsidR="00BD483C" w:rsidRPr="006A38AF" w:rsidRDefault="00BD483C" w:rsidP="00DC0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ESTUDIO SEROLOGICO</w:t>
            </w:r>
          </w:p>
        </w:tc>
        <w:tc>
          <w:tcPr>
            <w:tcW w:w="2977" w:type="dxa"/>
          </w:tcPr>
          <w:p w:rsidR="00BD483C" w:rsidRPr="006A38AF" w:rsidRDefault="00BD483C" w:rsidP="00DC0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ENDOSCOPIA DIGESTIVA</w:t>
            </w:r>
          </w:p>
          <w:p w:rsidR="00BD483C" w:rsidRPr="006A38AF" w:rsidRDefault="00BD483C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BIOPSIA</w:t>
            </w:r>
            <w:r w:rsidR="00DC066A" w:rsidRPr="006A38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108E" w:rsidRPr="006A38AF">
              <w:rPr>
                <w:rFonts w:ascii="Arial" w:hAnsi="Arial" w:cs="Arial"/>
                <w:b/>
                <w:sz w:val="20"/>
                <w:szCs w:val="20"/>
              </w:rPr>
              <w:t>DUO</w:t>
            </w:r>
            <w:r w:rsidRPr="006A38AF">
              <w:rPr>
                <w:rFonts w:ascii="Arial" w:hAnsi="Arial" w:cs="Arial"/>
                <w:b/>
                <w:sz w:val="20"/>
                <w:szCs w:val="20"/>
              </w:rPr>
              <w:t>DENO</w:t>
            </w:r>
          </w:p>
        </w:tc>
        <w:tc>
          <w:tcPr>
            <w:tcW w:w="2835" w:type="dxa"/>
          </w:tcPr>
          <w:p w:rsidR="00BD483C" w:rsidRPr="006A38AF" w:rsidRDefault="00BD483C" w:rsidP="00DC0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ESTUDIO GENETICO</w:t>
            </w:r>
          </w:p>
          <w:p w:rsidR="00BD483C" w:rsidRPr="006A38AF" w:rsidRDefault="00BD483C" w:rsidP="00DC0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SISTEMA HLA</w:t>
            </w:r>
          </w:p>
        </w:tc>
      </w:tr>
    </w:tbl>
    <w:p w:rsidR="00AF384A" w:rsidRPr="006A38AF" w:rsidRDefault="001258F9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62B06" wp14:editId="47AD65C3">
                <wp:simplePos x="0" y="0"/>
                <wp:positionH relativeFrom="column">
                  <wp:posOffset>4563110</wp:posOffset>
                </wp:positionH>
                <wp:positionV relativeFrom="paragraph">
                  <wp:posOffset>38735</wp:posOffset>
                </wp:positionV>
                <wp:extent cx="297815" cy="213360"/>
                <wp:effectExtent l="38100" t="0" r="6985" b="34290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1336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079D" id="Flecha abajo 8" o:spid="_x0000_s1026" type="#_x0000_t67" style="position:absolute;margin-left:359.3pt;margin-top:3.05pt;width:23.4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" adj="10800" filled="f" strokecolor="black [3213]" strokeweight="1pt"/>
            </w:pict>
          </mc:Fallback>
        </mc:AlternateContent>
      </w:r>
      <w:r w:rsidRPr="006A38AF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101CE" wp14:editId="101F027F">
                <wp:simplePos x="0" y="0"/>
                <wp:positionH relativeFrom="margin">
                  <wp:posOffset>2810510</wp:posOffset>
                </wp:positionH>
                <wp:positionV relativeFrom="paragraph">
                  <wp:posOffset>8255</wp:posOffset>
                </wp:positionV>
                <wp:extent cx="297815" cy="243840"/>
                <wp:effectExtent l="19050" t="0" r="26035" b="4191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438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D288" id="Flecha abajo 9" o:spid="_x0000_s1026" type="#_x0000_t67" style="position:absolute;margin-left:221.3pt;margin-top:.65pt;width:23.4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" adj="10800" filled="f" strokecolor="black [3213]" strokeweight="1pt">
                <w10:wrap anchorx="margin"/>
              </v:shape>
            </w:pict>
          </mc:Fallback>
        </mc:AlternateContent>
      </w:r>
      <w:r w:rsidRPr="006A38AF">
        <w:rPr>
          <w:rFonts w:ascii="Arial" w:hAnsi="Arial" w:cs="Arial"/>
          <w:noProof/>
          <w:sz w:val="20"/>
          <w:szCs w:val="20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F80A1" wp14:editId="37E666B2">
                <wp:simplePos x="0" y="0"/>
                <wp:positionH relativeFrom="column">
                  <wp:posOffset>958850</wp:posOffset>
                </wp:positionH>
                <wp:positionV relativeFrom="paragraph">
                  <wp:posOffset>76835</wp:posOffset>
                </wp:positionV>
                <wp:extent cx="297815" cy="205740"/>
                <wp:effectExtent l="38100" t="0" r="6985" b="4191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0574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B848" id="Flecha abajo 10" o:spid="_x0000_s1026" type="#_x0000_t67" style="position:absolute;margin-left:75.5pt;margin-top:6.05pt;width:23.45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" adj="10800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552"/>
        <w:gridCol w:w="2835"/>
      </w:tblGrid>
      <w:tr w:rsidR="009D69DD" w:rsidRPr="006A38AF" w:rsidTr="00AF384A">
        <w:trPr>
          <w:trHeight w:val="832"/>
        </w:trPr>
        <w:tc>
          <w:tcPr>
            <w:tcW w:w="3260" w:type="dxa"/>
          </w:tcPr>
          <w:p w:rsidR="009D69DD" w:rsidRPr="006A38AF" w:rsidRDefault="009D69DD" w:rsidP="00124C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 xml:space="preserve">TRANSGLUTAMINASA </w:t>
            </w:r>
            <w:r w:rsidR="00124CB9" w:rsidRPr="006A38AF">
              <w:rPr>
                <w:rFonts w:ascii="Arial" w:hAnsi="Arial" w:cs="Arial"/>
                <w:b/>
                <w:sz w:val="20"/>
                <w:szCs w:val="20"/>
              </w:rPr>
              <w:t>TISULAR</w:t>
            </w:r>
          </w:p>
        </w:tc>
        <w:tc>
          <w:tcPr>
            <w:tcW w:w="2552" w:type="dxa"/>
          </w:tcPr>
          <w:p w:rsidR="009D69DD" w:rsidRPr="006A38AF" w:rsidRDefault="00D47C37" w:rsidP="009C1A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CLASIFICACION DE MARSH</w:t>
            </w:r>
          </w:p>
        </w:tc>
        <w:tc>
          <w:tcPr>
            <w:tcW w:w="2835" w:type="dxa"/>
          </w:tcPr>
          <w:p w:rsidR="009D69DD" w:rsidRPr="006A38AF" w:rsidRDefault="00D47C37" w:rsidP="00DC06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 xml:space="preserve">ALELOS </w:t>
            </w:r>
            <w:r w:rsidRPr="006A38AF">
              <w:rPr>
                <w:rFonts w:ascii="Arial" w:hAnsi="Arial" w:cs="Arial"/>
                <w:b/>
                <w:bCs/>
                <w:sz w:val="20"/>
                <w:szCs w:val="20"/>
              </w:rPr>
              <w:t>DQ</w:t>
            </w:r>
            <w:r w:rsidRPr="006A38AF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6A38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DQ</w:t>
            </w:r>
            <w:r w:rsidRPr="006A38AF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8</w:t>
            </w:r>
          </w:p>
        </w:tc>
      </w:tr>
    </w:tbl>
    <w:p w:rsidR="00D71DA9" w:rsidRPr="006A38AF" w:rsidRDefault="002018D2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Se tomó muestra de sangre capilar para la determinación de IgA </w:t>
      </w:r>
      <w:r w:rsidR="00570B1B" w:rsidRPr="006A38AF">
        <w:rPr>
          <w:rFonts w:ascii="Arial" w:hAnsi="Arial" w:cs="Arial"/>
          <w:sz w:val="20"/>
          <w:szCs w:val="20"/>
        </w:rPr>
        <w:t>α-</w:t>
      </w:r>
      <w:r w:rsidRPr="006A38AF">
        <w:rPr>
          <w:rFonts w:ascii="Arial" w:hAnsi="Arial" w:cs="Arial"/>
          <w:sz w:val="20"/>
          <w:szCs w:val="20"/>
        </w:rPr>
        <w:t>transglutaminasa tisular por e</w:t>
      </w:r>
      <w:r w:rsidR="00570B1B" w:rsidRPr="006A38AF">
        <w:rPr>
          <w:rFonts w:ascii="Arial" w:hAnsi="Arial" w:cs="Arial"/>
          <w:sz w:val="20"/>
          <w:szCs w:val="20"/>
        </w:rPr>
        <w:t>l método cubano de inmunodifució</w:t>
      </w:r>
      <w:r w:rsidRPr="006A38AF">
        <w:rPr>
          <w:rFonts w:ascii="Arial" w:hAnsi="Arial" w:cs="Arial"/>
          <w:sz w:val="20"/>
          <w:szCs w:val="20"/>
        </w:rPr>
        <w:t>n de HeberFast Line</w:t>
      </w:r>
      <w:r w:rsidR="00570B1B" w:rsidRPr="006A38AF">
        <w:rPr>
          <w:rFonts w:ascii="Arial" w:hAnsi="Arial" w:cs="Arial"/>
          <w:sz w:val="20"/>
          <w:szCs w:val="20"/>
        </w:rPr>
        <w:t>, reactivo cubano fabricado</w:t>
      </w:r>
      <w:r w:rsidRPr="006A38AF">
        <w:rPr>
          <w:rFonts w:ascii="Arial" w:hAnsi="Arial" w:cs="Arial"/>
          <w:sz w:val="20"/>
          <w:szCs w:val="20"/>
        </w:rPr>
        <w:t xml:space="preserve"> en el </w:t>
      </w:r>
      <w:r w:rsidR="00570B1B" w:rsidRPr="006A38AF">
        <w:rPr>
          <w:rFonts w:ascii="Arial" w:hAnsi="Arial" w:cs="Arial"/>
          <w:sz w:val="20"/>
          <w:szCs w:val="20"/>
        </w:rPr>
        <w:t>CIGB</w:t>
      </w:r>
      <w:r w:rsidRPr="006A38AF">
        <w:rPr>
          <w:rFonts w:ascii="Arial" w:hAnsi="Arial" w:cs="Arial"/>
          <w:sz w:val="20"/>
          <w:szCs w:val="20"/>
        </w:rPr>
        <w:t xml:space="preserve"> de San</w:t>
      </w:r>
      <w:r w:rsidR="00570B1B" w:rsidRPr="006A38AF">
        <w:rPr>
          <w:rFonts w:ascii="Arial" w:hAnsi="Arial" w:cs="Arial"/>
          <w:sz w:val="20"/>
          <w:szCs w:val="20"/>
        </w:rPr>
        <w:t>cti Spi</w:t>
      </w:r>
      <w:r w:rsidRPr="006A38AF">
        <w:rPr>
          <w:rFonts w:ascii="Arial" w:hAnsi="Arial" w:cs="Arial"/>
          <w:sz w:val="20"/>
          <w:szCs w:val="20"/>
        </w:rPr>
        <w:t>ritus el cual aporta los resultados en corto tiempo</w:t>
      </w:r>
    </w:p>
    <w:p w:rsidR="00116DCF" w:rsidRPr="006A38AF" w:rsidRDefault="00D71DA9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Se realizó endoscopia digestiva alta con equipo Olympus Lucera 260</w:t>
      </w:r>
      <w:r w:rsidR="0074680C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 xml:space="preserve">y se tomaron 4 </w:t>
      </w:r>
      <w:r w:rsidR="0074680C" w:rsidRPr="006A38AF">
        <w:rPr>
          <w:rFonts w:ascii="Arial" w:hAnsi="Arial" w:cs="Arial"/>
          <w:sz w:val="20"/>
          <w:szCs w:val="20"/>
        </w:rPr>
        <w:t>muestras</w:t>
      </w:r>
      <w:r w:rsidRPr="006A38AF">
        <w:rPr>
          <w:rFonts w:ascii="Arial" w:hAnsi="Arial" w:cs="Arial"/>
          <w:sz w:val="20"/>
          <w:szCs w:val="20"/>
        </w:rPr>
        <w:t xml:space="preserve"> duodenal</w:t>
      </w:r>
      <w:r w:rsidR="0074680C" w:rsidRPr="006A38AF">
        <w:rPr>
          <w:rFonts w:ascii="Arial" w:hAnsi="Arial" w:cs="Arial"/>
          <w:sz w:val="20"/>
          <w:szCs w:val="20"/>
        </w:rPr>
        <w:t>es</w:t>
      </w:r>
      <w:r w:rsidR="00570B1B" w:rsidRPr="006A38AF">
        <w:rPr>
          <w:rFonts w:ascii="Arial" w:hAnsi="Arial" w:cs="Arial"/>
          <w:sz w:val="20"/>
          <w:szCs w:val="20"/>
        </w:rPr>
        <w:t xml:space="preserve"> con fórceps FB-21 y otras</w:t>
      </w:r>
      <w:r w:rsidR="00BA678C" w:rsidRPr="006A38AF">
        <w:rPr>
          <w:rFonts w:ascii="Arial" w:hAnsi="Arial" w:cs="Arial"/>
          <w:sz w:val="20"/>
          <w:szCs w:val="20"/>
        </w:rPr>
        <w:t xml:space="preserve"> dos</w:t>
      </w:r>
      <w:r w:rsidR="00570B1B" w:rsidRPr="006A38AF">
        <w:rPr>
          <w:rFonts w:ascii="Arial" w:hAnsi="Arial" w:cs="Arial"/>
          <w:sz w:val="20"/>
          <w:szCs w:val="20"/>
        </w:rPr>
        <w:t xml:space="preserve"> de bulbo duodenal,</w:t>
      </w:r>
      <w:r w:rsidRPr="006A38AF">
        <w:rPr>
          <w:rFonts w:ascii="Arial" w:hAnsi="Arial" w:cs="Arial"/>
          <w:sz w:val="20"/>
          <w:szCs w:val="20"/>
        </w:rPr>
        <w:t xml:space="preserve"> pasándolas a formol</w:t>
      </w:r>
      <w:r w:rsidR="00570B1B" w:rsidRPr="006A38AF">
        <w:rPr>
          <w:rFonts w:ascii="Arial" w:hAnsi="Arial" w:cs="Arial"/>
          <w:sz w:val="20"/>
          <w:szCs w:val="20"/>
        </w:rPr>
        <w:t xml:space="preserve"> 10%</w:t>
      </w:r>
      <w:r w:rsidRPr="006A38AF">
        <w:rPr>
          <w:rFonts w:ascii="Arial" w:hAnsi="Arial" w:cs="Arial"/>
          <w:sz w:val="20"/>
          <w:szCs w:val="20"/>
        </w:rPr>
        <w:t xml:space="preserve"> para evitar deterioro</w:t>
      </w:r>
      <w:r w:rsidR="00570B1B" w:rsidRPr="006A38AF">
        <w:rPr>
          <w:rFonts w:ascii="Arial" w:hAnsi="Arial" w:cs="Arial"/>
          <w:sz w:val="20"/>
          <w:szCs w:val="20"/>
        </w:rPr>
        <w:t>;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570B1B" w:rsidRPr="006A38AF">
        <w:rPr>
          <w:rFonts w:ascii="Arial" w:hAnsi="Arial" w:cs="Arial"/>
          <w:sz w:val="20"/>
          <w:szCs w:val="20"/>
        </w:rPr>
        <w:t>é</w:t>
      </w:r>
      <w:r w:rsidRPr="006A38AF">
        <w:rPr>
          <w:rFonts w:ascii="Arial" w:hAnsi="Arial" w:cs="Arial"/>
          <w:sz w:val="20"/>
          <w:szCs w:val="20"/>
        </w:rPr>
        <w:t>sta</w:t>
      </w:r>
      <w:r w:rsidR="0074680C" w:rsidRPr="006A38AF">
        <w:rPr>
          <w:rFonts w:ascii="Arial" w:hAnsi="Arial" w:cs="Arial"/>
          <w:sz w:val="20"/>
          <w:szCs w:val="20"/>
        </w:rPr>
        <w:t>s</w:t>
      </w:r>
      <w:r w:rsidRPr="006A38AF">
        <w:rPr>
          <w:rFonts w:ascii="Arial" w:hAnsi="Arial" w:cs="Arial"/>
          <w:sz w:val="20"/>
          <w:szCs w:val="20"/>
        </w:rPr>
        <w:t xml:space="preserve"> fue</w:t>
      </w:r>
      <w:r w:rsidR="0074680C" w:rsidRPr="006A38AF">
        <w:rPr>
          <w:rFonts w:ascii="Arial" w:hAnsi="Arial" w:cs="Arial"/>
          <w:sz w:val="20"/>
          <w:szCs w:val="20"/>
        </w:rPr>
        <w:t>ron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74680C" w:rsidRPr="006A38AF">
        <w:rPr>
          <w:rFonts w:ascii="Arial" w:hAnsi="Arial" w:cs="Arial"/>
          <w:sz w:val="20"/>
          <w:szCs w:val="20"/>
        </w:rPr>
        <w:t>enviada</w:t>
      </w:r>
      <w:r w:rsidR="00570B1B" w:rsidRPr="006A38AF">
        <w:rPr>
          <w:rFonts w:ascii="Arial" w:hAnsi="Arial" w:cs="Arial"/>
          <w:sz w:val="20"/>
          <w:szCs w:val="20"/>
        </w:rPr>
        <w:t xml:space="preserve"> al D</w:t>
      </w:r>
      <w:r w:rsidRPr="006A38AF">
        <w:rPr>
          <w:rFonts w:ascii="Arial" w:hAnsi="Arial" w:cs="Arial"/>
          <w:sz w:val="20"/>
          <w:szCs w:val="20"/>
        </w:rPr>
        <w:t xml:space="preserve">pto. de </w:t>
      </w:r>
      <w:r w:rsidR="0074680C" w:rsidRPr="006A38AF">
        <w:rPr>
          <w:rFonts w:ascii="Arial" w:hAnsi="Arial" w:cs="Arial"/>
          <w:sz w:val="20"/>
          <w:szCs w:val="20"/>
        </w:rPr>
        <w:t>Anatomía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74680C" w:rsidRPr="006A38AF">
        <w:rPr>
          <w:rFonts w:ascii="Arial" w:hAnsi="Arial" w:cs="Arial"/>
          <w:sz w:val="20"/>
          <w:szCs w:val="20"/>
        </w:rPr>
        <w:t>Patológica</w:t>
      </w:r>
      <w:r w:rsidR="00570B1B" w:rsidRPr="006A38AF">
        <w:rPr>
          <w:rFonts w:ascii="Arial" w:hAnsi="Arial" w:cs="Arial"/>
          <w:sz w:val="20"/>
          <w:szCs w:val="20"/>
        </w:rPr>
        <w:t xml:space="preserve"> del HWS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74680C" w:rsidRPr="006A38AF">
        <w:rPr>
          <w:rFonts w:ascii="Arial" w:hAnsi="Arial" w:cs="Arial"/>
          <w:sz w:val="20"/>
          <w:szCs w:val="20"/>
        </w:rPr>
        <w:t xml:space="preserve">y analizada según la clasificación de Marsh modificada </w:t>
      </w:r>
      <w:r w:rsidR="00570B1B" w:rsidRPr="006A38AF">
        <w:rPr>
          <w:rFonts w:ascii="Arial" w:hAnsi="Arial" w:cs="Arial"/>
          <w:sz w:val="20"/>
          <w:szCs w:val="20"/>
        </w:rPr>
        <w:t>por</w:t>
      </w:r>
      <w:r w:rsidR="0074680C" w:rsidRPr="006A38AF">
        <w:rPr>
          <w:rFonts w:ascii="Arial" w:hAnsi="Arial" w:cs="Arial"/>
          <w:sz w:val="20"/>
          <w:szCs w:val="20"/>
        </w:rPr>
        <w:t xml:space="preserve"> </w:t>
      </w:r>
      <w:r w:rsidR="00570B1B" w:rsidRPr="006A38AF">
        <w:rPr>
          <w:rFonts w:ascii="Arial" w:hAnsi="Arial" w:cs="Arial"/>
          <w:sz w:val="20"/>
          <w:szCs w:val="20"/>
        </w:rPr>
        <w:t>Oberhüber</w:t>
      </w:r>
      <w:r w:rsidR="0074680C" w:rsidRPr="006A38AF">
        <w:rPr>
          <w:rFonts w:ascii="Arial" w:hAnsi="Arial" w:cs="Arial"/>
          <w:sz w:val="20"/>
          <w:szCs w:val="20"/>
        </w:rPr>
        <w:t xml:space="preserve">  y que establece los siguientes tipos</w:t>
      </w:r>
      <w:r w:rsidR="00570B1B" w:rsidRPr="006A38AF">
        <w:rPr>
          <w:rFonts w:ascii="Arial" w:hAnsi="Arial" w:cs="Arial"/>
          <w:sz w:val="20"/>
          <w:szCs w:val="20"/>
        </w:rPr>
        <w:t>:</w:t>
      </w:r>
      <w:r w:rsidR="0074680C" w:rsidRPr="006A38AF">
        <w:rPr>
          <w:rFonts w:ascii="Arial" w:hAnsi="Arial" w:cs="Arial"/>
          <w:sz w:val="20"/>
          <w:szCs w:val="20"/>
        </w:rPr>
        <w:t xml:space="preserve"> Marsh 0</w:t>
      </w:r>
      <w:r w:rsidR="00570B1B" w:rsidRPr="006A38AF">
        <w:rPr>
          <w:rFonts w:ascii="Arial" w:hAnsi="Arial" w:cs="Arial"/>
          <w:sz w:val="20"/>
          <w:szCs w:val="20"/>
        </w:rPr>
        <w:t>,</w:t>
      </w:r>
      <w:r w:rsidR="0074680C" w:rsidRPr="006A38AF">
        <w:rPr>
          <w:rFonts w:ascii="Arial" w:hAnsi="Arial" w:cs="Arial"/>
          <w:sz w:val="20"/>
          <w:szCs w:val="20"/>
        </w:rPr>
        <w:t xml:space="preserve"> mucosa pre infiltrativa</w:t>
      </w:r>
      <w:r w:rsidR="00570B1B" w:rsidRPr="006A38AF">
        <w:rPr>
          <w:rFonts w:ascii="Arial" w:hAnsi="Arial" w:cs="Arial"/>
          <w:sz w:val="20"/>
          <w:szCs w:val="20"/>
        </w:rPr>
        <w:t>;</w:t>
      </w:r>
      <w:r w:rsidR="0074680C" w:rsidRPr="006A38AF">
        <w:rPr>
          <w:rFonts w:ascii="Arial" w:hAnsi="Arial" w:cs="Arial"/>
          <w:sz w:val="20"/>
          <w:szCs w:val="20"/>
        </w:rPr>
        <w:t xml:space="preserve"> Marsh1</w:t>
      </w:r>
      <w:r w:rsidR="00570B1B" w:rsidRPr="006A38AF">
        <w:rPr>
          <w:rFonts w:ascii="Arial" w:hAnsi="Arial" w:cs="Arial"/>
          <w:sz w:val="20"/>
          <w:szCs w:val="20"/>
        </w:rPr>
        <w:t>, incremento en el número de l</w:t>
      </w:r>
      <w:r w:rsidR="0074680C" w:rsidRPr="006A38AF">
        <w:rPr>
          <w:rFonts w:ascii="Arial" w:hAnsi="Arial" w:cs="Arial"/>
          <w:sz w:val="20"/>
          <w:szCs w:val="20"/>
        </w:rPr>
        <w:t>infocitos intraepiteliales</w:t>
      </w:r>
      <w:r w:rsidR="00570B1B" w:rsidRPr="006A38AF">
        <w:rPr>
          <w:rFonts w:ascii="Arial" w:hAnsi="Arial" w:cs="Arial"/>
          <w:sz w:val="20"/>
          <w:szCs w:val="20"/>
        </w:rPr>
        <w:t xml:space="preserve">; </w:t>
      </w:r>
      <w:r w:rsidR="0074680C" w:rsidRPr="006A38AF">
        <w:rPr>
          <w:rFonts w:ascii="Arial" w:hAnsi="Arial" w:cs="Arial"/>
          <w:sz w:val="20"/>
          <w:szCs w:val="20"/>
        </w:rPr>
        <w:t xml:space="preserve"> Marsh 2</w:t>
      </w:r>
      <w:r w:rsidR="00570B1B" w:rsidRPr="006A38AF">
        <w:rPr>
          <w:rFonts w:ascii="Arial" w:hAnsi="Arial" w:cs="Arial"/>
          <w:sz w:val="20"/>
          <w:szCs w:val="20"/>
        </w:rPr>
        <w:t>,</w:t>
      </w:r>
      <w:r w:rsidR="0074680C" w:rsidRPr="006A38AF">
        <w:rPr>
          <w:rFonts w:ascii="Arial" w:hAnsi="Arial" w:cs="Arial"/>
          <w:sz w:val="20"/>
          <w:szCs w:val="20"/>
        </w:rPr>
        <w:t xml:space="preserve"> </w:t>
      </w:r>
      <w:r w:rsidR="00570B1B" w:rsidRPr="006A38AF">
        <w:rPr>
          <w:rFonts w:ascii="Arial" w:hAnsi="Arial" w:cs="Arial"/>
          <w:sz w:val="20"/>
          <w:szCs w:val="20"/>
        </w:rPr>
        <w:t>h</w:t>
      </w:r>
      <w:r w:rsidR="0074680C" w:rsidRPr="006A38AF">
        <w:rPr>
          <w:rFonts w:ascii="Arial" w:hAnsi="Arial" w:cs="Arial"/>
          <w:sz w:val="20"/>
          <w:szCs w:val="20"/>
        </w:rPr>
        <w:t xml:space="preserve">iperplasia de las </w:t>
      </w:r>
      <w:r w:rsidR="00570B1B" w:rsidRPr="006A38AF">
        <w:rPr>
          <w:rFonts w:ascii="Arial" w:hAnsi="Arial" w:cs="Arial"/>
          <w:sz w:val="20"/>
          <w:szCs w:val="20"/>
        </w:rPr>
        <w:t>c</w:t>
      </w:r>
      <w:r w:rsidR="0074680C" w:rsidRPr="006A38AF">
        <w:rPr>
          <w:rFonts w:ascii="Arial" w:hAnsi="Arial" w:cs="Arial"/>
          <w:sz w:val="20"/>
          <w:szCs w:val="20"/>
        </w:rPr>
        <w:t>riptas</w:t>
      </w:r>
      <w:r w:rsidR="00570B1B" w:rsidRPr="006A38AF">
        <w:rPr>
          <w:rFonts w:ascii="Arial" w:hAnsi="Arial" w:cs="Arial"/>
          <w:sz w:val="20"/>
          <w:szCs w:val="20"/>
        </w:rPr>
        <w:t>;</w:t>
      </w:r>
      <w:r w:rsidR="0074680C" w:rsidRPr="006A38AF">
        <w:rPr>
          <w:rFonts w:ascii="Arial" w:hAnsi="Arial" w:cs="Arial"/>
          <w:sz w:val="20"/>
          <w:szCs w:val="20"/>
        </w:rPr>
        <w:t xml:space="preserve"> Marsh 3</w:t>
      </w:r>
      <w:r w:rsidR="00570B1B" w:rsidRPr="006A38AF">
        <w:rPr>
          <w:rFonts w:ascii="Arial" w:hAnsi="Arial" w:cs="Arial"/>
          <w:sz w:val="20"/>
          <w:szCs w:val="20"/>
        </w:rPr>
        <w:t>,</w:t>
      </w:r>
      <w:r w:rsidR="0074680C" w:rsidRPr="006A38AF">
        <w:rPr>
          <w:rFonts w:ascii="Arial" w:hAnsi="Arial" w:cs="Arial"/>
          <w:sz w:val="20"/>
          <w:szCs w:val="20"/>
        </w:rPr>
        <w:t xml:space="preserve"> atrofia vellositaria</w:t>
      </w:r>
      <w:r w:rsidR="00570B1B" w:rsidRPr="006A38AF">
        <w:rPr>
          <w:rFonts w:ascii="Arial" w:hAnsi="Arial" w:cs="Arial"/>
          <w:sz w:val="20"/>
          <w:szCs w:val="20"/>
        </w:rPr>
        <w:t>,</w:t>
      </w:r>
      <w:r w:rsidR="0074680C" w:rsidRPr="006A38AF">
        <w:rPr>
          <w:rFonts w:ascii="Arial" w:hAnsi="Arial" w:cs="Arial"/>
          <w:sz w:val="20"/>
          <w:szCs w:val="20"/>
        </w:rPr>
        <w:t xml:space="preserve">  3</w:t>
      </w:r>
      <w:r w:rsidR="00570B1B" w:rsidRPr="006A38AF">
        <w:rPr>
          <w:rFonts w:ascii="Arial" w:hAnsi="Arial" w:cs="Arial"/>
          <w:sz w:val="20"/>
          <w:szCs w:val="20"/>
        </w:rPr>
        <w:t>ª-</w:t>
      </w:r>
      <w:r w:rsidR="0074680C" w:rsidRPr="006A38AF">
        <w:rPr>
          <w:rFonts w:ascii="Arial" w:hAnsi="Arial" w:cs="Arial"/>
          <w:sz w:val="20"/>
          <w:szCs w:val="20"/>
        </w:rPr>
        <w:t xml:space="preserve"> parcial,</w:t>
      </w:r>
      <w:r w:rsidR="00570B1B" w:rsidRPr="006A38AF">
        <w:rPr>
          <w:rFonts w:ascii="Arial" w:hAnsi="Arial" w:cs="Arial"/>
          <w:sz w:val="20"/>
          <w:szCs w:val="20"/>
        </w:rPr>
        <w:t xml:space="preserve"> </w:t>
      </w:r>
      <w:r w:rsidR="0074680C" w:rsidRPr="006A38AF">
        <w:rPr>
          <w:rFonts w:ascii="Arial" w:hAnsi="Arial" w:cs="Arial"/>
          <w:sz w:val="20"/>
          <w:szCs w:val="20"/>
        </w:rPr>
        <w:t>3b</w:t>
      </w:r>
      <w:r w:rsidR="00570B1B" w:rsidRPr="006A38AF">
        <w:rPr>
          <w:rFonts w:ascii="Arial" w:hAnsi="Arial" w:cs="Arial"/>
          <w:sz w:val="20"/>
          <w:szCs w:val="20"/>
        </w:rPr>
        <w:t>-</w:t>
      </w:r>
      <w:r w:rsidR="0074680C" w:rsidRPr="006A38AF">
        <w:rPr>
          <w:rFonts w:ascii="Arial" w:hAnsi="Arial" w:cs="Arial"/>
          <w:sz w:val="20"/>
          <w:szCs w:val="20"/>
        </w:rPr>
        <w:t xml:space="preserve"> subtotal,</w:t>
      </w:r>
      <w:r w:rsidR="00570B1B" w:rsidRPr="006A38AF">
        <w:rPr>
          <w:rFonts w:ascii="Arial" w:hAnsi="Arial" w:cs="Arial"/>
          <w:sz w:val="20"/>
          <w:szCs w:val="20"/>
        </w:rPr>
        <w:t xml:space="preserve"> </w:t>
      </w:r>
      <w:r w:rsidR="0074680C" w:rsidRPr="006A38AF">
        <w:rPr>
          <w:rFonts w:ascii="Arial" w:hAnsi="Arial" w:cs="Arial"/>
          <w:sz w:val="20"/>
          <w:szCs w:val="20"/>
        </w:rPr>
        <w:t>3c</w:t>
      </w:r>
      <w:r w:rsidR="00570B1B" w:rsidRPr="006A38AF">
        <w:rPr>
          <w:rFonts w:ascii="Arial" w:hAnsi="Arial" w:cs="Arial"/>
          <w:sz w:val="20"/>
          <w:szCs w:val="20"/>
        </w:rPr>
        <w:t>-</w:t>
      </w:r>
      <w:r w:rsidR="0074680C" w:rsidRPr="006A38AF">
        <w:rPr>
          <w:rFonts w:ascii="Arial" w:hAnsi="Arial" w:cs="Arial"/>
          <w:sz w:val="20"/>
          <w:szCs w:val="20"/>
        </w:rPr>
        <w:t xml:space="preserve"> total</w:t>
      </w:r>
      <w:r w:rsidR="00570B1B" w:rsidRPr="006A38AF">
        <w:rPr>
          <w:rFonts w:ascii="Arial" w:hAnsi="Arial" w:cs="Arial"/>
          <w:sz w:val="20"/>
          <w:szCs w:val="20"/>
        </w:rPr>
        <w:t>;</w:t>
      </w:r>
      <w:r w:rsidR="002018D2" w:rsidRPr="006A38AF">
        <w:rPr>
          <w:rFonts w:ascii="Arial" w:hAnsi="Arial" w:cs="Arial"/>
          <w:sz w:val="20"/>
          <w:szCs w:val="20"/>
        </w:rPr>
        <w:t xml:space="preserve"> este proceder se considera el estándar de oro para el diagnóstico de enfermedad celiaca</w:t>
      </w:r>
      <w:r w:rsidR="00570B1B" w:rsidRPr="006A38AF">
        <w:rPr>
          <w:rFonts w:ascii="Arial" w:hAnsi="Arial" w:cs="Arial"/>
          <w:sz w:val="20"/>
          <w:szCs w:val="20"/>
        </w:rPr>
        <w:t>,</w:t>
      </w:r>
      <w:r w:rsidR="002018D2" w:rsidRPr="006A38AF">
        <w:rPr>
          <w:rFonts w:ascii="Arial" w:hAnsi="Arial" w:cs="Arial"/>
          <w:sz w:val="20"/>
          <w:szCs w:val="20"/>
        </w:rPr>
        <w:t xml:space="preserve"> pero se ha demo</w:t>
      </w:r>
      <w:r w:rsidR="00570B1B" w:rsidRPr="006A38AF">
        <w:rPr>
          <w:rFonts w:ascii="Arial" w:hAnsi="Arial" w:cs="Arial"/>
          <w:sz w:val="20"/>
          <w:szCs w:val="20"/>
        </w:rPr>
        <w:t>strado que ningún estudio por sí</w:t>
      </w:r>
      <w:r w:rsidR="002018D2" w:rsidRPr="006A38AF">
        <w:rPr>
          <w:rFonts w:ascii="Arial" w:hAnsi="Arial" w:cs="Arial"/>
          <w:sz w:val="20"/>
          <w:szCs w:val="20"/>
        </w:rPr>
        <w:t xml:space="preserve"> </w:t>
      </w:r>
      <w:r w:rsidR="00570B1B" w:rsidRPr="006A38AF">
        <w:rPr>
          <w:rFonts w:ascii="Arial" w:hAnsi="Arial" w:cs="Arial"/>
          <w:sz w:val="20"/>
          <w:szCs w:val="20"/>
        </w:rPr>
        <w:t>sólo</w:t>
      </w:r>
      <w:r w:rsidR="002018D2" w:rsidRPr="006A38AF">
        <w:rPr>
          <w:rFonts w:ascii="Arial" w:hAnsi="Arial" w:cs="Arial"/>
          <w:sz w:val="20"/>
          <w:szCs w:val="20"/>
        </w:rPr>
        <w:t xml:space="preserve"> es definitorio</w:t>
      </w:r>
      <w:r w:rsidR="001C3DC3" w:rsidRPr="006A38AF">
        <w:rPr>
          <w:rFonts w:ascii="Arial" w:hAnsi="Arial" w:cs="Arial"/>
          <w:sz w:val="20"/>
          <w:szCs w:val="20"/>
        </w:rPr>
        <w:t>.</w:t>
      </w:r>
    </w:p>
    <w:p w:rsidR="001C3DC3" w:rsidRPr="006A38AF" w:rsidRDefault="001C3DC3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Dentro de los complementarios adicionales realizados tenemos el frotis d</w:t>
      </w:r>
      <w:r w:rsidR="00116DCF" w:rsidRPr="006A38AF">
        <w:rPr>
          <w:rFonts w:ascii="Arial" w:hAnsi="Arial" w:cs="Arial"/>
          <w:sz w:val="20"/>
          <w:szCs w:val="20"/>
        </w:rPr>
        <w:t>uodenal que fue testado por el D</w:t>
      </w:r>
      <w:r w:rsidRPr="006A38AF">
        <w:rPr>
          <w:rFonts w:ascii="Arial" w:hAnsi="Arial" w:cs="Arial"/>
          <w:sz w:val="20"/>
          <w:szCs w:val="20"/>
        </w:rPr>
        <w:t xml:space="preserve">pto. de </w:t>
      </w:r>
      <w:r w:rsidR="00191F6E" w:rsidRPr="006A38AF">
        <w:rPr>
          <w:rFonts w:ascii="Arial" w:hAnsi="Arial" w:cs="Arial"/>
          <w:sz w:val="20"/>
          <w:szCs w:val="20"/>
        </w:rPr>
        <w:t>Gastroenterología</w:t>
      </w:r>
      <w:r w:rsidR="00116DCF" w:rsidRPr="006A38AF">
        <w:rPr>
          <w:rFonts w:ascii="Arial" w:hAnsi="Arial" w:cs="Arial"/>
          <w:sz w:val="20"/>
          <w:szCs w:val="20"/>
        </w:rPr>
        <w:t xml:space="preserve">, HWS, </w:t>
      </w:r>
      <w:r w:rsidRPr="006A38AF">
        <w:rPr>
          <w:rFonts w:ascii="Arial" w:hAnsi="Arial" w:cs="Arial"/>
          <w:sz w:val="20"/>
          <w:szCs w:val="20"/>
        </w:rPr>
        <w:t xml:space="preserve">en la búsqueda de la parasitosis Giardia lamblia debido a su fuerte relación con la mucosa del duodeno y el </w:t>
      </w:r>
      <w:r w:rsidR="00116DCF" w:rsidRPr="006A38AF">
        <w:rPr>
          <w:rFonts w:ascii="Arial" w:hAnsi="Arial" w:cs="Arial"/>
          <w:sz w:val="20"/>
          <w:szCs w:val="20"/>
        </w:rPr>
        <w:t>t</w:t>
      </w:r>
      <w:r w:rsidRPr="006A38AF">
        <w:rPr>
          <w:rFonts w:ascii="Arial" w:hAnsi="Arial" w:cs="Arial"/>
          <w:sz w:val="20"/>
          <w:szCs w:val="20"/>
        </w:rPr>
        <w:t xml:space="preserve">est </w:t>
      </w:r>
      <w:r w:rsidR="00116DCF" w:rsidRPr="006A38AF">
        <w:rPr>
          <w:rFonts w:ascii="Arial" w:hAnsi="Arial" w:cs="Arial"/>
          <w:sz w:val="20"/>
          <w:szCs w:val="20"/>
        </w:rPr>
        <w:t>r</w:t>
      </w:r>
      <w:r w:rsidR="00191F6E" w:rsidRPr="006A38AF">
        <w:rPr>
          <w:rFonts w:ascii="Arial" w:hAnsi="Arial" w:cs="Arial"/>
          <w:sz w:val="20"/>
          <w:szCs w:val="20"/>
        </w:rPr>
        <w:t>ápido</w:t>
      </w:r>
      <w:r w:rsidR="00116DCF" w:rsidRPr="006A38AF">
        <w:rPr>
          <w:rFonts w:ascii="Arial" w:hAnsi="Arial" w:cs="Arial"/>
          <w:sz w:val="20"/>
          <w:szCs w:val="20"/>
        </w:rPr>
        <w:t xml:space="preserve"> de ureasa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116DCF" w:rsidRPr="006A38AF">
        <w:rPr>
          <w:rFonts w:ascii="Arial" w:hAnsi="Arial" w:cs="Arial"/>
          <w:sz w:val="20"/>
          <w:szCs w:val="20"/>
        </w:rPr>
        <w:t>"</w:t>
      </w:r>
      <w:r w:rsidRPr="006A38AF">
        <w:rPr>
          <w:rFonts w:ascii="Arial" w:hAnsi="Arial" w:cs="Arial"/>
          <w:sz w:val="20"/>
          <w:szCs w:val="20"/>
        </w:rPr>
        <w:t>Gastropyl</w:t>
      </w:r>
      <w:r w:rsidR="00116DCF" w:rsidRPr="006A38AF">
        <w:rPr>
          <w:rFonts w:ascii="Arial" w:hAnsi="Arial" w:cs="Arial"/>
          <w:sz w:val="20"/>
          <w:szCs w:val="20"/>
        </w:rPr>
        <w:t>"</w:t>
      </w:r>
      <w:r w:rsidRPr="006A38AF">
        <w:rPr>
          <w:rFonts w:ascii="Arial" w:hAnsi="Arial" w:cs="Arial"/>
          <w:sz w:val="20"/>
          <w:szCs w:val="20"/>
        </w:rPr>
        <w:t xml:space="preserve"> para el </w:t>
      </w:r>
      <w:r w:rsidR="006E4E61" w:rsidRPr="006A38AF">
        <w:rPr>
          <w:rFonts w:ascii="Arial" w:hAnsi="Arial" w:cs="Arial"/>
          <w:sz w:val="20"/>
          <w:szCs w:val="20"/>
        </w:rPr>
        <w:t>diagnóstico del Heli</w:t>
      </w:r>
      <w:r w:rsidRPr="006A38AF">
        <w:rPr>
          <w:rFonts w:ascii="Arial" w:hAnsi="Arial" w:cs="Arial"/>
          <w:sz w:val="20"/>
          <w:szCs w:val="20"/>
        </w:rPr>
        <w:t xml:space="preserve">cobacter </w:t>
      </w:r>
      <w:r w:rsidR="00B966D1" w:rsidRPr="006A38AF">
        <w:rPr>
          <w:rFonts w:ascii="Arial" w:hAnsi="Arial" w:cs="Arial"/>
          <w:sz w:val="20"/>
          <w:szCs w:val="20"/>
        </w:rPr>
        <w:t>pylori</w:t>
      </w:r>
      <w:r w:rsidR="00116DCF" w:rsidRPr="006A38AF">
        <w:rPr>
          <w:rFonts w:ascii="Arial" w:hAnsi="Arial" w:cs="Arial"/>
          <w:sz w:val="20"/>
          <w:szCs w:val="20"/>
        </w:rPr>
        <w:t>,</w:t>
      </w:r>
      <w:r w:rsidR="00B966D1" w:rsidRPr="006A38AF">
        <w:rPr>
          <w:rFonts w:ascii="Arial" w:hAnsi="Arial" w:cs="Arial"/>
          <w:sz w:val="20"/>
          <w:szCs w:val="20"/>
        </w:rPr>
        <w:t xml:space="preserve"> frecuente</w:t>
      </w:r>
      <w:r w:rsidR="006E4E61" w:rsidRPr="006A38AF">
        <w:rPr>
          <w:rFonts w:ascii="Arial" w:hAnsi="Arial" w:cs="Arial"/>
          <w:sz w:val="20"/>
          <w:szCs w:val="20"/>
        </w:rPr>
        <w:t xml:space="preserve"> en la población </w:t>
      </w:r>
      <w:r w:rsidR="00B966D1" w:rsidRPr="006A38AF">
        <w:rPr>
          <w:rFonts w:ascii="Arial" w:hAnsi="Arial" w:cs="Arial"/>
          <w:sz w:val="20"/>
          <w:szCs w:val="20"/>
        </w:rPr>
        <w:t>infantil</w:t>
      </w:r>
      <w:r w:rsidR="00116DCF" w:rsidRPr="006A38AF">
        <w:rPr>
          <w:rFonts w:ascii="Arial" w:hAnsi="Arial" w:cs="Arial"/>
          <w:sz w:val="20"/>
          <w:szCs w:val="20"/>
        </w:rPr>
        <w:t>;</w:t>
      </w:r>
      <w:r w:rsidR="00B966D1" w:rsidRPr="006A38AF">
        <w:rPr>
          <w:rFonts w:ascii="Arial" w:hAnsi="Arial" w:cs="Arial"/>
          <w:sz w:val="20"/>
          <w:szCs w:val="20"/>
        </w:rPr>
        <w:t xml:space="preserve"> determinaciones</w:t>
      </w:r>
      <w:r w:rsidR="00116DCF" w:rsidRPr="006A38AF">
        <w:rPr>
          <w:rFonts w:ascii="Arial" w:hAnsi="Arial" w:cs="Arial"/>
          <w:sz w:val="20"/>
          <w:szCs w:val="20"/>
        </w:rPr>
        <w:t xml:space="preserve"> é</w:t>
      </w:r>
      <w:r w:rsidR="006E4E61" w:rsidRPr="006A38AF">
        <w:rPr>
          <w:rFonts w:ascii="Arial" w:hAnsi="Arial" w:cs="Arial"/>
          <w:sz w:val="20"/>
          <w:szCs w:val="20"/>
        </w:rPr>
        <w:t xml:space="preserve">stas que ayudaran para el análisis de los factores que complejizan el </w:t>
      </w:r>
      <w:r w:rsidR="00191F6E" w:rsidRPr="006A38AF">
        <w:rPr>
          <w:rFonts w:ascii="Arial" w:hAnsi="Arial" w:cs="Arial"/>
          <w:sz w:val="20"/>
          <w:szCs w:val="20"/>
        </w:rPr>
        <w:t>diagnóstico</w:t>
      </w:r>
      <w:r w:rsidR="00116DCF" w:rsidRPr="006A38AF">
        <w:rPr>
          <w:rFonts w:ascii="Arial" w:hAnsi="Arial" w:cs="Arial"/>
          <w:sz w:val="20"/>
          <w:szCs w:val="20"/>
        </w:rPr>
        <w:t xml:space="preserve"> de la enfermedad.</w:t>
      </w:r>
    </w:p>
    <w:p w:rsidR="002018D2" w:rsidRPr="006A38AF" w:rsidRDefault="002018D2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Para el estudio genético se tomaron muestras </w:t>
      </w:r>
      <w:r w:rsidR="00CD74E9" w:rsidRPr="006A38AF">
        <w:rPr>
          <w:rFonts w:ascii="Arial" w:hAnsi="Arial" w:cs="Arial"/>
          <w:sz w:val="20"/>
          <w:szCs w:val="20"/>
        </w:rPr>
        <w:t>d</w:t>
      </w:r>
      <w:r w:rsidRPr="006A38AF">
        <w:rPr>
          <w:rFonts w:ascii="Arial" w:hAnsi="Arial" w:cs="Arial"/>
          <w:sz w:val="20"/>
          <w:szCs w:val="20"/>
        </w:rPr>
        <w:t xml:space="preserve">e </w:t>
      </w:r>
      <w:r w:rsidR="00CD74E9" w:rsidRPr="006A38AF">
        <w:rPr>
          <w:rFonts w:ascii="Arial" w:hAnsi="Arial" w:cs="Arial"/>
          <w:sz w:val="20"/>
          <w:szCs w:val="20"/>
        </w:rPr>
        <w:t>sangre venosa</w:t>
      </w:r>
      <w:r w:rsidRPr="006A38AF">
        <w:rPr>
          <w:rFonts w:ascii="Arial" w:hAnsi="Arial" w:cs="Arial"/>
          <w:sz w:val="20"/>
          <w:szCs w:val="20"/>
        </w:rPr>
        <w:t xml:space="preserve"> con </w:t>
      </w:r>
      <w:r w:rsidR="00CD74E9" w:rsidRPr="006A38AF">
        <w:rPr>
          <w:rFonts w:ascii="Arial" w:hAnsi="Arial" w:cs="Arial"/>
          <w:sz w:val="20"/>
          <w:szCs w:val="20"/>
        </w:rPr>
        <w:t>anticoagulante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CD74E9" w:rsidRPr="006A38AF">
        <w:rPr>
          <w:rFonts w:ascii="Arial" w:hAnsi="Arial" w:cs="Arial"/>
          <w:sz w:val="20"/>
          <w:szCs w:val="20"/>
        </w:rPr>
        <w:t xml:space="preserve">EDTA y se enviaron al Hospital Hermanos </w:t>
      </w:r>
      <w:r w:rsidR="00191F6E" w:rsidRPr="006A38AF">
        <w:rPr>
          <w:rFonts w:ascii="Arial" w:hAnsi="Arial" w:cs="Arial"/>
          <w:sz w:val="20"/>
          <w:szCs w:val="20"/>
        </w:rPr>
        <w:t>A</w:t>
      </w:r>
      <w:r w:rsidR="00116DCF" w:rsidRPr="006A38AF">
        <w:rPr>
          <w:rFonts w:ascii="Arial" w:hAnsi="Arial" w:cs="Arial"/>
          <w:sz w:val="20"/>
          <w:szCs w:val="20"/>
        </w:rPr>
        <w:t>meijeiras</w:t>
      </w:r>
      <w:r w:rsidR="00191F6E" w:rsidRPr="006A38AF">
        <w:rPr>
          <w:rFonts w:ascii="Arial" w:hAnsi="Arial" w:cs="Arial"/>
          <w:sz w:val="20"/>
          <w:szCs w:val="20"/>
        </w:rPr>
        <w:t xml:space="preserve"> al</w:t>
      </w:r>
      <w:r w:rsidR="00116DCF" w:rsidRPr="006A38AF">
        <w:rPr>
          <w:rFonts w:ascii="Arial" w:hAnsi="Arial" w:cs="Arial"/>
          <w:sz w:val="20"/>
          <w:szCs w:val="20"/>
        </w:rPr>
        <w:t xml:space="preserve"> D</w:t>
      </w:r>
      <w:r w:rsidR="00CD74E9" w:rsidRPr="006A38AF">
        <w:rPr>
          <w:rFonts w:ascii="Arial" w:hAnsi="Arial" w:cs="Arial"/>
          <w:sz w:val="20"/>
          <w:szCs w:val="20"/>
        </w:rPr>
        <w:t xml:space="preserve">pto. </w:t>
      </w:r>
      <w:r w:rsidR="00116DCF" w:rsidRPr="006A38AF">
        <w:rPr>
          <w:rFonts w:ascii="Arial" w:hAnsi="Arial" w:cs="Arial"/>
          <w:sz w:val="20"/>
          <w:szCs w:val="20"/>
        </w:rPr>
        <w:t>d</w:t>
      </w:r>
      <w:r w:rsidR="00CD74E9" w:rsidRPr="006A38AF">
        <w:rPr>
          <w:rFonts w:ascii="Arial" w:hAnsi="Arial" w:cs="Arial"/>
          <w:sz w:val="20"/>
          <w:szCs w:val="20"/>
        </w:rPr>
        <w:t xml:space="preserve">e </w:t>
      </w:r>
      <w:r w:rsidR="00116DCF" w:rsidRPr="006A38AF">
        <w:rPr>
          <w:rFonts w:ascii="Arial" w:hAnsi="Arial" w:cs="Arial"/>
          <w:sz w:val="20"/>
          <w:szCs w:val="20"/>
        </w:rPr>
        <w:t>B</w:t>
      </w:r>
      <w:r w:rsidR="00CD74E9" w:rsidRPr="006A38AF">
        <w:rPr>
          <w:rFonts w:ascii="Arial" w:hAnsi="Arial" w:cs="Arial"/>
          <w:sz w:val="20"/>
          <w:szCs w:val="20"/>
        </w:rPr>
        <w:t xml:space="preserve">iología </w:t>
      </w:r>
      <w:r w:rsidR="00116DCF" w:rsidRPr="006A38AF">
        <w:rPr>
          <w:rFonts w:ascii="Arial" w:hAnsi="Arial" w:cs="Arial"/>
          <w:sz w:val="20"/>
          <w:szCs w:val="20"/>
        </w:rPr>
        <w:t>M</w:t>
      </w:r>
      <w:r w:rsidR="00CD74E9" w:rsidRPr="006A38AF">
        <w:rPr>
          <w:rFonts w:ascii="Arial" w:hAnsi="Arial" w:cs="Arial"/>
          <w:sz w:val="20"/>
          <w:szCs w:val="20"/>
        </w:rPr>
        <w:t>olecular con el fin de determinar la presencia o no de los alelos DQ2- DQ8 de HLA por técnica de PCR-TR empleando sondas tipo Tapman Genevinset HLA</w:t>
      </w:r>
      <w:r w:rsidR="00116DCF" w:rsidRPr="006A38AF">
        <w:rPr>
          <w:rFonts w:ascii="Arial" w:hAnsi="Arial" w:cs="Arial"/>
          <w:sz w:val="20"/>
          <w:szCs w:val="20"/>
        </w:rPr>
        <w:t>.</w:t>
      </w:r>
    </w:p>
    <w:p w:rsidR="00CD74E9" w:rsidRPr="006A38AF" w:rsidRDefault="00CD74E9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Cada paciente fue introducido en una base de datos </w:t>
      </w:r>
      <w:r w:rsidR="00F05027" w:rsidRPr="006A38AF">
        <w:rPr>
          <w:rFonts w:ascii="Arial" w:hAnsi="Arial" w:cs="Arial"/>
          <w:sz w:val="20"/>
          <w:szCs w:val="20"/>
        </w:rPr>
        <w:t>ACC</w:t>
      </w:r>
      <w:r w:rsidR="00116DCF" w:rsidRPr="006A38AF">
        <w:rPr>
          <w:rFonts w:ascii="Arial" w:hAnsi="Arial" w:cs="Arial"/>
          <w:sz w:val="20"/>
          <w:szCs w:val="20"/>
        </w:rPr>
        <w:t>E</w:t>
      </w:r>
      <w:r w:rsidR="00F05027" w:rsidRPr="006A38AF">
        <w:rPr>
          <w:rFonts w:ascii="Arial" w:hAnsi="Arial" w:cs="Arial"/>
          <w:sz w:val="20"/>
          <w:szCs w:val="20"/>
        </w:rPr>
        <w:t>S</w:t>
      </w:r>
      <w:r w:rsidR="00116DCF" w:rsidRPr="006A38AF">
        <w:rPr>
          <w:rFonts w:ascii="Arial" w:hAnsi="Arial" w:cs="Arial"/>
          <w:sz w:val="20"/>
          <w:szCs w:val="20"/>
        </w:rPr>
        <w:t>S</w:t>
      </w:r>
      <w:r w:rsidR="00A32D46" w:rsidRPr="006A38AF">
        <w:rPr>
          <w:rFonts w:ascii="Arial" w:hAnsi="Arial" w:cs="Arial"/>
          <w:sz w:val="20"/>
          <w:szCs w:val="20"/>
        </w:rPr>
        <w:t xml:space="preserve"> 2016</w:t>
      </w:r>
      <w:r w:rsidR="00F05027" w:rsidRPr="006A38AF">
        <w:rPr>
          <w:rFonts w:ascii="Arial" w:hAnsi="Arial" w:cs="Arial"/>
          <w:sz w:val="20"/>
          <w:szCs w:val="20"/>
        </w:rPr>
        <w:t xml:space="preserve"> al</w:t>
      </w:r>
      <w:r w:rsidRPr="006A38AF">
        <w:rPr>
          <w:rFonts w:ascii="Arial" w:hAnsi="Arial" w:cs="Arial"/>
          <w:sz w:val="20"/>
          <w:szCs w:val="20"/>
        </w:rPr>
        <w:t xml:space="preserve"> respecto para el análisis de los resultados </w:t>
      </w:r>
    </w:p>
    <w:p w:rsidR="00683C17" w:rsidRDefault="00683C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2D46" w:rsidRPr="006A38AF" w:rsidRDefault="007329E1" w:rsidP="0077278E">
      <w:pPr>
        <w:spacing w:line="240" w:lineRule="auto"/>
        <w:jc w:val="both"/>
        <w:rPr>
          <w:rFonts w:ascii="Arial" w:hAnsi="Arial" w:cs="Arial"/>
          <w:b/>
        </w:rPr>
      </w:pPr>
      <w:r w:rsidRPr="006A38AF">
        <w:rPr>
          <w:rFonts w:ascii="Arial" w:hAnsi="Arial" w:cs="Arial"/>
          <w:b/>
        </w:rPr>
        <w:lastRenderedPageBreak/>
        <w:t xml:space="preserve">III- </w:t>
      </w:r>
      <w:r w:rsidR="00F05027" w:rsidRPr="006A38AF">
        <w:rPr>
          <w:rFonts w:ascii="Arial" w:hAnsi="Arial" w:cs="Arial"/>
          <w:b/>
        </w:rPr>
        <w:t>RESULTADOS</w:t>
      </w:r>
      <w:r w:rsidR="00A32D46" w:rsidRPr="006A38AF">
        <w:rPr>
          <w:rFonts w:ascii="Arial" w:hAnsi="Arial" w:cs="Arial"/>
          <w:b/>
        </w:rPr>
        <w:t>:</w:t>
      </w:r>
    </w:p>
    <w:p w:rsidR="00A32D46" w:rsidRPr="006A38AF" w:rsidRDefault="00F05027" w:rsidP="003342D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38AF">
        <w:rPr>
          <w:rFonts w:ascii="Arial" w:hAnsi="Arial" w:cs="Arial"/>
          <w:b/>
          <w:sz w:val="20"/>
          <w:szCs w:val="20"/>
        </w:rPr>
        <w:t>TABLA 1</w:t>
      </w:r>
      <w:r w:rsidR="00040930" w:rsidRPr="006A38AF">
        <w:rPr>
          <w:rFonts w:ascii="Arial" w:hAnsi="Arial" w:cs="Arial"/>
          <w:b/>
          <w:sz w:val="20"/>
          <w:szCs w:val="20"/>
        </w:rPr>
        <w:t>:</w:t>
      </w:r>
      <w:r w:rsidR="0004238B" w:rsidRPr="006A38AF">
        <w:rPr>
          <w:rFonts w:ascii="Arial" w:hAnsi="Arial" w:cs="Arial"/>
          <w:b/>
          <w:sz w:val="20"/>
          <w:szCs w:val="20"/>
        </w:rPr>
        <w:t xml:space="preserve"> </w:t>
      </w:r>
      <w:r w:rsidR="00A32D46" w:rsidRPr="006A38AF">
        <w:rPr>
          <w:rFonts w:ascii="Arial" w:hAnsi="Arial" w:cs="Arial"/>
          <w:b/>
          <w:bCs/>
          <w:sz w:val="20"/>
          <w:szCs w:val="20"/>
          <w:lang w:val="es-ES"/>
        </w:rPr>
        <w:t>TOTAL DE NIÑOS, ESCOLARES Y ADOLESCENTES - 52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1272"/>
        <w:gridCol w:w="1428"/>
        <w:gridCol w:w="1817"/>
      </w:tblGrid>
      <w:tr w:rsidR="00040930" w:rsidRPr="006A38AF" w:rsidTr="00040930">
        <w:trPr>
          <w:jc w:val="center"/>
        </w:trPr>
        <w:tc>
          <w:tcPr>
            <w:tcW w:w="0" w:type="auto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FEMENINO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MASCULINO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SEGÚN EDADES</w:t>
            </w:r>
          </w:p>
        </w:tc>
      </w:tr>
      <w:tr w:rsidR="00040930" w:rsidRPr="006A38AF" w:rsidTr="00040930">
        <w:trPr>
          <w:jc w:val="center"/>
        </w:trPr>
        <w:tc>
          <w:tcPr>
            <w:tcW w:w="0" w:type="auto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 – 5 AÑOS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040930" w:rsidRPr="006A38AF" w:rsidTr="00040930">
        <w:trPr>
          <w:jc w:val="center"/>
        </w:trPr>
        <w:tc>
          <w:tcPr>
            <w:tcW w:w="0" w:type="auto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6 – 11 AÑOS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040930" w:rsidRPr="006A38AF" w:rsidTr="00040930">
        <w:trPr>
          <w:jc w:val="center"/>
        </w:trPr>
        <w:tc>
          <w:tcPr>
            <w:tcW w:w="0" w:type="auto"/>
          </w:tcPr>
          <w:p w:rsidR="00040930" w:rsidRPr="006A38AF" w:rsidRDefault="00040930" w:rsidP="00BA67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12 -</w:t>
            </w:r>
            <w:r w:rsidR="00BA678C" w:rsidRPr="006A38AF">
              <w:rPr>
                <w:rFonts w:ascii="Arial" w:hAnsi="Arial" w:cs="Arial"/>
                <w:b/>
                <w:sz w:val="20"/>
                <w:szCs w:val="20"/>
              </w:rPr>
              <w:t xml:space="preserve"> 18</w:t>
            </w:r>
            <w:r w:rsidRPr="006A38AF">
              <w:rPr>
                <w:rFonts w:ascii="Arial" w:hAnsi="Arial" w:cs="Arial"/>
                <w:b/>
                <w:sz w:val="20"/>
                <w:szCs w:val="20"/>
              </w:rPr>
              <w:t xml:space="preserve"> AÑOS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040930" w:rsidRPr="006A38AF" w:rsidTr="00040930">
        <w:trPr>
          <w:jc w:val="center"/>
        </w:trPr>
        <w:tc>
          <w:tcPr>
            <w:tcW w:w="0" w:type="auto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SEGÚN SEXO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</w:tr>
    </w:tbl>
    <w:p w:rsidR="00040930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7AEF" w:rsidRDefault="0004238B" w:rsidP="0077278E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6A38AF">
        <w:rPr>
          <w:rFonts w:ascii="Arial" w:hAnsi="Arial" w:cs="Arial"/>
          <w:sz w:val="20"/>
          <w:szCs w:val="20"/>
        </w:rPr>
        <w:t xml:space="preserve">Aunque el sexo no es definitorio en nuestra casuística tenemos </w:t>
      </w:r>
      <w:r w:rsidR="00787AEF" w:rsidRPr="006A38AF">
        <w:rPr>
          <w:rFonts w:ascii="Arial" w:hAnsi="Arial" w:cs="Arial"/>
          <w:sz w:val="20"/>
          <w:szCs w:val="20"/>
        </w:rPr>
        <w:t>más</w:t>
      </w:r>
      <w:r w:rsidR="009A242C" w:rsidRPr="006A38AF">
        <w:rPr>
          <w:rFonts w:ascii="Arial" w:hAnsi="Arial" w:cs="Arial"/>
          <w:sz w:val="20"/>
          <w:szCs w:val="20"/>
        </w:rPr>
        <w:t xml:space="preserve"> niñas</w:t>
      </w:r>
      <w:r w:rsidRPr="006A38AF">
        <w:rPr>
          <w:rFonts w:ascii="Arial" w:hAnsi="Arial" w:cs="Arial"/>
          <w:sz w:val="20"/>
          <w:szCs w:val="20"/>
        </w:rPr>
        <w:t xml:space="preserve"> que varones coincidiendo con lo que plantea </w:t>
      </w:r>
      <w:proofErr w:type="spellStart"/>
      <w:r w:rsidR="007A1F81" w:rsidRPr="006A38AF">
        <w:rPr>
          <w:rFonts w:ascii="Arial" w:eastAsia="Arial Unicode MS" w:hAnsi="Arial" w:cs="Arial"/>
          <w:sz w:val="20"/>
          <w:szCs w:val="20"/>
        </w:rPr>
        <w:t>Pelkowski</w:t>
      </w:r>
      <w:proofErr w:type="spellEnd"/>
      <w:r w:rsidR="007A1F81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 xml:space="preserve">y colaboradores </w:t>
      </w:r>
      <w:r w:rsidR="00040930" w:rsidRPr="006A38AF">
        <w:rPr>
          <w:rFonts w:ascii="Arial" w:hAnsi="Arial" w:cs="Arial"/>
          <w:sz w:val="20"/>
          <w:szCs w:val="20"/>
        </w:rPr>
        <w:t xml:space="preserve">quien plantea </w:t>
      </w:r>
      <w:r w:rsidRPr="006A38AF">
        <w:rPr>
          <w:rFonts w:ascii="Arial" w:hAnsi="Arial" w:cs="Arial"/>
          <w:sz w:val="20"/>
          <w:szCs w:val="20"/>
        </w:rPr>
        <w:t>que el sexo femenino prevalece 2.8 a 1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787AEF" w:rsidRPr="006A38AF">
        <w:rPr>
          <w:rFonts w:ascii="Arial" w:hAnsi="Arial" w:cs="Arial"/>
          <w:sz w:val="20"/>
          <w:szCs w:val="20"/>
        </w:rPr>
        <w:t>y s</w:t>
      </w:r>
      <w:r w:rsidR="00040930" w:rsidRPr="006A38AF">
        <w:rPr>
          <w:rFonts w:ascii="Arial" w:hAnsi="Arial" w:cs="Arial"/>
          <w:sz w:val="20"/>
          <w:szCs w:val="20"/>
        </w:rPr>
        <w:t>í</w:t>
      </w:r>
      <w:r w:rsidR="00787AEF" w:rsidRPr="006A38AF">
        <w:rPr>
          <w:rFonts w:ascii="Arial" w:hAnsi="Arial" w:cs="Arial"/>
          <w:sz w:val="20"/>
          <w:szCs w:val="20"/>
        </w:rPr>
        <w:t xml:space="preserve"> tenemos concordancia con muchos autores </w:t>
      </w:r>
      <w:r w:rsidR="00B966D1" w:rsidRPr="006A38AF">
        <w:rPr>
          <w:rFonts w:ascii="Arial" w:hAnsi="Arial" w:cs="Arial"/>
          <w:sz w:val="20"/>
          <w:szCs w:val="20"/>
        </w:rPr>
        <w:t>en lo</w:t>
      </w:r>
      <w:r w:rsidR="00787AEF" w:rsidRPr="006A38AF">
        <w:rPr>
          <w:rFonts w:ascii="Arial" w:hAnsi="Arial" w:cs="Arial"/>
          <w:sz w:val="20"/>
          <w:szCs w:val="20"/>
        </w:rPr>
        <w:t xml:space="preserve"> referido a la edad de debut </w:t>
      </w:r>
      <w:r w:rsidR="00E444CE" w:rsidRPr="006A38AF">
        <w:rPr>
          <w:rFonts w:ascii="Arial" w:hAnsi="Arial" w:cs="Arial"/>
          <w:sz w:val="20"/>
          <w:szCs w:val="20"/>
        </w:rPr>
        <w:t>pues nuestro</w:t>
      </w:r>
      <w:r w:rsidR="00787AEF" w:rsidRPr="006A38AF">
        <w:rPr>
          <w:rFonts w:ascii="Arial" w:hAnsi="Arial" w:cs="Arial"/>
          <w:sz w:val="20"/>
          <w:szCs w:val="20"/>
        </w:rPr>
        <w:t xml:space="preserve"> grupo de 1 a 5 </w:t>
      </w:r>
      <w:r w:rsidR="00E444CE" w:rsidRPr="006A38AF">
        <w:rPr>
          <w:rFonts w:ascii="Arial" w:hAnsi="Arial" w:cs="Arial"/>
          <w:sz w:val="20"/>
          <w:szCs w:val="20"/>
        </w:rPr>
        <w:t>años fue</w:t>
      </w:r>
      <w:r w:rsidR="00787AEF" w:rsidRPr="006A38AF">
        <w:rPr>
          <w:rFonts w:ascii="Arial" w:hAnsi="Arial" w:cs="Arial"/>
          <w:sz w:val="20"/>
          <w:szCs w:val="20"/>
        </w:rPr>
        <w:t xml:space="preserve"> el de mayor </w:t>
      </w:r>
      <w:r w:rsidR="00040930" w:rsidRPr="006A38AF">
        <w:rPr>
          <w:rFonts w:ascii="Arial" w:hAnsi="Arial" w:cs="Arial"/>
          <w:sz w:val="20"/>
          <w:szCs w:val="20"/>
        </w:rPr>
        <w:t>número,</w:t>
      </w:r>
      <w:r w:rsidR="00787AEF" w:rsidRPr="006A38AF">
        <w:rPr>
          <w:rFonts w:ascii="Arial" w:hAnsi="Arial" w:cs="Arial"/>
          <w:sz w:val="20"/>
          <w:szCs w:val="20"/>
        </w:rPr>
        <w:t xml:space="preserve"> 24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40930" w:rsidRPr="006A38AF">
        <w:rPr>
          <w:rFonts w:ascii="Arial" w:hAnsi="Arial" w:cs="Arial"/>
          <w:sz w:val="20"/>
          <w:szCs w:val="20"/>
        </w:rPr>
        <w:t>pacientes.</w:t>
      </w:r>
      <w:r w:rsidR="00A84095" w:rsidRPr="006A38AF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A84095" w:rsidRPr="006A38AF">
        <w:rPr>
          <w:rFonts w:ascii="Arial" w:hAnsi="Arial" w:cs="Arial"/>
          <w:sz w:val="20"/>
          <w:szCs w:val="20"/>
          <w:vertAlign w:val="superscript"/>
        </w:rPr>
        <w:t>16)</w:t>
      </w:r>
    </w:p>
    <w:p w:rsidR="00F05027" w:rsidRPr="006A38AF" w:rsidRDefault="00040930" w:rsidP="003342D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A38AF">
        <w:rPr>
          <w:rFonts w:ascii="Arial" w:hAnsi="Arial" w:cs="Arial"/>
          <w:b/>
          <w:sz w:val="20"/>
          <w:szCs w:val="20"/>
        </w:rPr>
        <w:t xml:space="preserve">TABLA 2: </w:t>
      </w:r>
      <w:r w:rsidRPr="006A38AF">
        <w:rPr>
          <w:rFonts w:ascii="Arial" w:hAnsi="Arial" w:cs="Arial"/>
          <w:b/>
          <w:bCs/>
          <w:sz w:val="20"/>
          <w:szCs w:val="20"/>
          <w:lang w:val="es-ES"/>
        </w:rPr>
        <w:t>SINTOMAS Y SIGNOS EN 52 PACIENTES.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2850"/>
        <w:gridCol w:w="1361"/>
        <w:gridCol w:w="1461"/>
      </w:tblGrid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SINTOMAS Y SIGNOS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PACIENTES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POR CIENTO</w:t>
            </w:r>
          </w:p>
        </w:tc>
      </w:tr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ASPETO DELGADO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39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75,0</w:t>
            </w:r>
          </w:p>
        </w:tc>
      </w:tr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DOLOR ABDOMINAL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35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67,6</w:t>
            </w:r>
          </w:p>
        </w:tc>
      </w:tr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DIARREAS/CONSTIPACION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29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55,8</w:t>
            </w:r>
          </w:p>
        </w:tc>
      </w:tr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ANOREXIA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29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55,8</w:t>
            </w:r>
          </w:p>
        </w:tc>
      </w:tr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INTOLERANCIA LACTEA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57,7</w:t>
            </w:r>
          </w:p>
        </w:tc>
      </w:tr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DISTENSION ABDOMINAL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13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25,0</w:t>
            </w:r>
          </w:p>
        </w:tc>
      </w:tr>
    </w:tbl>
    <w:p w:rsidR="00040930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7AEF" w:rsidRPr="006A38AF" w:rsidRDefault="00787AEF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Dentro de los síntomas y signos </w:t>
      </w:r>
      <w:r w:rsidR="001919FC" w:rsidRPr="006A38AF">
        <w:rPr>
          <w:rFonts w:ascii="Arial" w:hAnsi="Arial" w:cs="Arial"/>
          <w:sz w:val="20"/>
          <w:szCs w:val="20"/>
        </w:rPr>
        <w:t>más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040930" w:rsidRPr="006A38AF">
        <w:rPr>
          <w:rFonts w:ascii="Arial" w:hAnsi="Arial" w:cs="Arial"/>
          <w:sz w:val="20"/>
          <w:szCs w:val="20"/>
        </w:rPr>
        <w:t>referidos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040930" w:rsidRPr="006A38AF">
        <w:rPr>
          <w:rFonts w:ascii="Arial" w:hAnsi="Arial" w:cs="Arial"/>
          <w:sz w:val="20"/>
          <w:szCs w:val="20"/>
        </w:rPr>
        <w:t>se observaron</w:t>
      </w:r>
      <w:r w:rsidR="009A242C" w:rsidRPr="006A38AF">
        <w:rPr>
          <w:rFonts w:ascii="Arial" w:hAnsi="Arial" w:cs="Arial"/>
          <w:sz w:val="20"/>
          <w:szCs w:val="20"/>
        </w:rPr>
        <w:t xml:space="preserve"> el aspecto delgado en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1919FC" w:rsidRPr="006A38AF">
        <w:rPr>
          <w:rFonts w:ascii="Arial" w:hAnsi="Arial" w:cs="Arial"/>
          <w:sz w:val="20"/>
          <w:szCs w:val="20"/>
        </w:rPr>
        <w:t xml:space="preserve">39 </w:t>
      </w:r>
      <w:r w:rsidR="00040930" w:rsidRPr="006A38AF">
        <w:rPr>
          <w:rFonts w:ascii="Arial" w:hAnsi="Arial" w:cs="Arial"/>
          <w:sz w:val="20"/>
          <w:szCs w:val="20"/>
        </w:rPr>
        <w:t>pacientes</w:t>
      </w:r>
      <w:r w:rsidR="001919FC" w:rsidRPr="006A38AF">
        <w:rPr>
          <w:rFonts w:ascii="Arial" w:hAnsi="Arial" w:cs="Arial"/>
          <w:sz w:val="20"/>
          <w:szCs w:val="20"/>
        </w:rPr>
        <w:t xml:space="preserve"> y el dolor abdominal</w:t>
      </w:r>
      <w:r w:rsidR="00040930" w:rsidRPr="006A38AF">
        <w:rPr>
          <w:rFonts w:ascii="Arial" w:hAnsi="Arial" w:cs="Arial"/>
          <w:sz w:val="20"/>
          <w:szCs w:val="20"/>
        </w:rPr>
        <w:t xml:space="preserve"> en</w:t>
      </w:r>
      <w:r w:rsidR="001919FC" w:rsidRPr="006A38AF">
        <w:rPr>
          <w:rFonts w:ascii="Arial" w:hAnsi="Arial" w:cs="Arial"/>
          <w:sz w:val="20"/>
          <w:szCs w:val="20"/>
        </w:rPr>
        <w:t xml:space="preserve"> 35</w:t>
      </w:r>
      <w:r w:rsidR="00040930" w:rsidRPr="006A38AF">
        <w:rPr>
          <w:rFonts w:ascii="Arial" w:hAnsi="Arial" w:cs="Arial"/>
          <w:sz w:val="20"/>
          <w:szCs w:val="20"/>
        </w:rPr>
        <w:t xml:space="preserve">, </w:t>
      </w:r>
      <w:r w:rsidR="00B966D1" w:rsidRPr="006A38AF">
        <w:rPr>
          <w:rFonts w:ascii="Arial" w:hAnsi="Arial" w:cs="Arial"/>
          <w:sz w:val="20"/>
          <w:szCs w:val="20"/>
        </w:rPr>
        <w:t>constituyendo</w:t>
      </w:r>
      <w:r w:rsidR="001919FC" w:rsidRPr="006A38AF">
        <w:rPr>
          <w:rFonts w:ascii="Arial" w:hAnsi="Arial" w:cs="Arial"/>
          <w:sz w:val="20"/>
          <w:szCs w:val="20"/>
        </w:rPr>
        <w:t xml:space="preserve"> los mayores por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="001919FC" w:rsidRPr="006A38AF">
        <w:rPr>
          <w:rFonts w:ascii="Arial" w:hAnsi="Arial" w:cs="Arial"/>
          <w:sz w:val="20"/>
          <w:szCs w:val="20"/>
        </w:rPr>
        <w:t>cientos, pero no podemos dejar de mencionar la anorexia y la distención abdominal que son muchas veces la causa de la consulta</w:t>
      </w:r>
      <w:r w:rsidR="00040930" w:rsidRPr="006A38AF">
        <w:rPr>
          <w:rFonts w:ascii="Arial" w:hAnsi="Arial" w:cs="Arial"/>
          <w:sz w:val="20"/>
          <w:szCs w:val="20"/>
        </w:rPr>
        <w:t xml:space="preserve"> conjuntamente con las diarreas,</w:t>
      </w:r>
    </w:p>
    <w:p w:rsidR="001919FC" w:rsidRPr="006A38AF" w:rsidRDefault="001919FC" w:rsidP="003342D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A38AF">
        <w:rPr>
          <w:rFonts w:ascii="Arial" w:hAnsi="Arial" w:cs="Arial"/>
          <w:b/>
          <w:sz w:val="20"/>
          <w:szCs w:val="20"/>
        </w:rPr>
        <w:t xml:space="preserve">Tabla 3 </w:t>
      </w:r>
      <w:r w:rsidR="0082397F" w:rsidRPr="006A38AF">
        <w:rPr>
          <w:rFonts w:ascii="Arial" w:hAnsi="Arial" w:cs="Arial"/>
          <w:b/>
          <w:sz w:val="20"/>
          <w:szCs w:val="20"/>
        </w:rPr>
        <w:t xml:space="preserve">- </w:t>
      </w:r>
      <w:r w:rsidR="00040930" w:rsidRPr="006A38AF">
        <w:rPr>
          <w:rFonts w:ascii="Arial" w:hAnsi="Arial" w:cs="Arial"/>
          <w:b/>
          <w:bCs/>
          <w:sz w:val="20"/>
          <w:szCs w:val="20"/>
          <w:lang w:val="es-ES"/>
        </w:rPr>
        <w:t>RESULTADOS DE ESTUDIOS SEROLOGICOS Y GENETICOS</w:t>
      </w:r>
    </w:p>
    <w:tbl>
      <w:tblPr>
        <w:tblStyle w:val="Tablaconcuadrcula"/>
        <w:tblW w:w="0" w:type="auto"/>
        <w:tblInd w:w="1125" w:type="dxa"/>
        <w:tblLayout w:type="fixed"/>
        <w:tblLook w:val="04A0" w:firstRow="1" w:lastRow="0" w:firstColumn="1" w:lastColumn="0" w:noHBand="0" w:noVBand="1"/>
      </w:tblPr>
      <w:tblGrid>
        <w:gridCol w:w="4048"/>
        <w:gridCol w:w="1510"/>
        <w:gridCol w:w="483"/>
        <w:gridCol w:w="684"/>
      </w:tblGrid>
      <w:tr w:rsidR="00040930" w:rsidRPr="006A38AF" w:rsidTr="009A242C">
        <w:tc>
          <w:tcPr>
            <w:tcW w:w="4048" w:type="dxa"/>
          </w:tcPr>
          <w:p w:rsidR="00040930" w:rsidRPr="006A38AF" w:rsidRDefault="005012DD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TIPO DE COMPLEMENTARIO</w:t>
            </w:r>
          </w:p>
        </w:tc>
        <w:tc>
          <w:tcPr>
            <w:tcW w:w="1993" w:type="dxa"/>
            <w:gridSpan w:val="2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PACIENTES</w:t>
            </w:r>
          </w:p>
        </w:tc>
        <w:tc>
          <w:tcPr>
            <w:tcW w:w="684" w:type="dxa"/>
          </w:tcPr>
          <w:p w:rsidR="00040930" w:rsidRPr="006A38AF" w:rsidRDefault="009A242C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%</w:t>
            </w:r>
          </w:p>
        </w:tc>
      </w:tr>
      <w:tr w:rsidR="00040930" w:rsidRPr="006A38AF" w:rsidTr="009A242C">
        <w:tc>
          <w:tcPr>
            <w:tcW w:w="4048" w:type="dxa"/>
            <w:vMerge w:val="restart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l-GR"/>
              </w:rPr>
              <w:t>α</w:t>
            </w: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-ANTITRANSAMINASA TISULAR</w:t>
            </w:r>
          </w:p>
        </w:tc>
        <w:tc>
          <w:tcPr>
            <w:tcW w:w="1510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+</w:t>
            </w:r>
          </w:p>
        </w:tc>
        <w:tc>
          <w:tcPr>
            <w:tcW w:w="483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35</w:t>
            </w:r>
          </w:p>
        </w:tc>
        <w:tc>
          <w:tcPr>
            <w:tcW w:w="684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67,3</w:t>
            </w:r>
          </w:p>
        </w:tc>
      </w:tr>
      <w:tr w:rsidR="00040930" w:rsidRPr="006A38AF" w:rsidTr="009A242C">
        <w:tc>
          <w:tcPr>
            <w:tcW w:w="4048" w:type="dxa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-</w:t>
            </w:r>
          </w:p>
        </w:tc>
        <w:tc>
          <w:tcPr>
            <w:tcW w:w="483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17</w:t>
            </w:r>
          </w:p>
        </w:tc>
        <w:tc>
          <w:tcPr>
            <w:tcW w:w="684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32,7</w:t>
            </w:r>
          </w:p>
        </w:tc>
      </w:tr>
      <w:tr w:rsidR="00040930" w:rsidRPr="006A38AF" w:rsidTr="009A242C">
        <w:tc>
          <w:tcPr>
            <w:tcW w:w="4048" w:type="dxa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</w:t>
            </w:r>
            <w:r w:rsidR="009A242C"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OTAL</w:t>
            </w:r>
          </w:p>
        </w:tc>
        <w:tc>
          <w:tcPr>
            <w:tcW w:w="483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52</w:t>
            </w:r>
          </w:p>
        </w:tc>
        <w:tc>
          <w:tcPr>
            <w:tcW w:w="684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100</w:t>
            </w:r>
          </w:p>
        </w:tc>
      </w:tr>
      <w:tr w:rsidR="00040930" w:rsidRPr="006A38AF" w:rsidTr="009A242C">
        <w:tc>
          <w:tcPr>
            <w:tcW w:w="6725" w:type="dxa"/>
            <w:gridSpan w:val="4"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930" w:rsidRPr="006A38AF" w:rsidTr="009A242C">
        <w:tc>
          <w:tcPr>
            <w:tcW w:w="4048" w:type="dxa"/>
            <w:vMerge w:val="restart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 xml:space="preserve">ALELOS HLA 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DQ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position w:val="-9"/>
                <w:sz w:val="20"/>
                <w:szCs w:val="20"/>
                <w:vertAlign w:val="subscript"/>
                <w:lang w:val="es-ES"/>
              </w:rPr>
              <w:t>2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 xml:space="preserve"> - DQ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position w:val="-9"/>
                <w:sz w:val="20"/>
                <w:szCs w:val="20"/>
                <w:vertAlign w:val="subscript"/>
                <w:lang w:val="es-ES"/>
              </w:rPr>
              <w:t>8</w:t>
            </w:r>
          </w:p>
        </w:tc>
        <w:tc>
          <w:tcPr>
            <w:tcW w:w="1510" w:type="dxa"/>
            <w:vAlign w:val="center"/>
          </w:tcPr>
          <w:p w:rsidR="00040930" w:rsidRPr="006A38AF" w:rsidRDefault="009A242C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PRESENTE</w:t>
            </w:r>
          </w:p>
        </w:tc>
        <w:tc>
          <w:tcPr>
            <w:tcW w:w="483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36</w:t>
            </w:r>
          </w:p>
        </w:tc>
        <w:tc>
          <w:tcPr>
            <w:tcW w:w="684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69,2</w:t>
            </w:r>
          </w:p>
        </w:tc>
      </w:tr>
      <w:tr w:rsidR="00040930" w:rsidRPr="006A38AF" w:rsidTr="009A242C">
        <w:tc>
          <w:tcPr>
            <w:tcW w:w="4048" w:type="dxa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040930" w:rsidRPr="006A38AF" w:rsidRDefault="009A242C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AUSENTE</w:t>
            </w:r>
          </w:p>
        </w:tc>
        <w:tc>
          <w:tcPr>
            <w:tcW w:w="483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16</w:t>
            </w:r>
          </w:p>
        </w:tc>
        <w:tc>
          <w:tcPr>
            <w:tcW w:w="684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30,8</w:t>
            </w:r>
          </w:p>
        </w:tc>
      </w:tr>
      <w:tr w:rsidR="00040930" w:rsidRPr="006A38AF" w:rsidTr="009A242C">
        <w:tc>
          <w:tcPr>
            <w:tcW w:w="4048" w:type="dxa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040930" w:rsidRPr="006A38AF" w:rsidRDefault="009A242C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83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52</w:t>
            </w:r>
          </w:p>
        </w:tc>
        <w:tc>
          <w:tcPr>
            <w:tcW w:w="684" w:type="dxa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100</w:t>
            </w:r>
          </w:p>
        </w:tc>
      </w:tr>
      <w:tr w:rsidR="005C74F3" w:rsidRPr="006A38AF" w:rsidTr="009A242C">
        <w:tc>
          <w:tcPr>
            <w:tcW w:w="4048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DQ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position w:val="-9"/>
                <w:sz w:val="20"/>
                <w:szCs w:val="20"/>
                <w:vertAlign w:val="subscript"/>
                <w:lang w:val="es-ES"/>
              </w:rPr>
              <w:t>2</w:t>
            </w:r>
          </w:p>
        </w:tc>
        <w:tc>
          <w:tcPr>
            <w:tcW w:w="1510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PRESENTE</w:t>
            </w:r>
          </w:p>
        </w:tc>
        <w:tc>
          <w:tcPr>
            <w:tcW w:w="483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29</w:t>
            </w:r>
          </w:p>
        </w:tc>
        <w:tc>
          <w:tcPr>
            <w:tcW w:w="684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55,8</w:t>
            </w:r>
          </w:p>
        </w:tc>
      </w:tr>
      <w:tr w:rsidR="005C74F3" w:rsidRPr="006A38AF" w:rsidTr="009A242C">
        <w:tc>
          <w:tcPr>
            <w:tcW w:w="4048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DQ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position w:val="-9"/>
                <w:sz w:val="20"/>
                <w:szCs w:val="20"/>
                <w:vertAlign w:val="subscript"/>
                <w:lang w:val="es-ES"/>
              </w:rPr>
              <w:t>8</w:t>
            </w:r>
          </w:p>
        </w:tc>
        <w:tc>
          <w:tcPr>
            <w:tcW w:w="1510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PRESENTE</w:t>
            </w:r>
          </w:p>
        </w:tc>
        <w:tc>
          <w:tcPr>
            <w:tcW w:w="483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6</w:t>
            </w:r>
          </w:p>
        </w:tc>
        <w:tc>
          <w:tcPr>
            <w:tcW w:w="684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11,5</w:t>
            </w:r>
          </w:p>
        </w:tc>
      </w:tr>
      <w:tr w:rsidR="005C74F3" w:rsidRPr="006A38AF" w:rsidTr="009A242C">
        <w:tc>
          <w:tcPr>
            <w:tcW w:w="4048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DQ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position w:val="-9"/>
                <w:sz w:val="20"/>
                <w:szCs w:val="20"/>
                <w:vertAlign w:val="subscript"/>
                <w:lang w:val="es-ES"/>
              </w:rPr>
              <w:t>2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 xml:space="preserve"> - DQ</w:t>
            </w:r>
            <w:r w:rsidRPr="006A38AF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position w:val="-9"/>
                <w:sz w:val="20"/>
                <w:szCs w:val="20"/>
                <w:vertAlign w:val="subscript"/>
                <w:lang w:val="es-ES"/>
              </w:rPr>
              <w:t>8</w:t>
            </w:r>
          </w:p>
        </w:tc>
        <w:tc>
          <w:tcPr>
            <w:tcW w:w="1510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PRESENTE</w:t>
            </w:r>
          </w:p>
        </w:tc>
        <w:tc>
          <w:tcPr>
            <w:tcW w:w="483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</w:t>
            </w:r>
          </w:p>
        </w:tc>
        <w:tc>
          <w:tcPr>
            <w:tcW w:w="684" w:type="dxa"/>
            <w:vAlign w:val="center"/>
          </w:tcPr>
          <w:p w:rsidR="005C74F3" w:rsidRPr="006A38AF" w:rsidRDefault="005C74F3" w:rsidP="005C74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color w:val="000000" w:themeColor="text1"/>
                <w:kern w:val="24"/>
                <w:sz w:val="20"/>
                <w:szCs w:val="20"/>
                <w:lang w:val="es-ES"/>
              </w:rPr>
              <w:t>1,9</w:t>
            </w:r>
          </w:p>
        </w:tc>
      </w:tr>
    </w:tbl>
    <w:p w:rsidR="00040930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43837" w:rsidRPr="006A38AF" w:rsidRDefault="001919FC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En nuestro grupo se encontraron los anticuerpos </w:t>
      </w:r>
      <w:r w:rsidR="00643837" w:rsidRPr="006A38AF">
        <w:rPr>
          <w:rFonts w:ascii="Arial" w:hAnsi="Arial" w:cs="Arial"/>
          <w:sz w:val="20"/>
          <w:szCs w:val="20"/>
        </w:rPr>
        <w:t>antitransglutaminasa</w:t>
      </w:r>
      <w:r w:rsidRPr="006A38AF">
        <w:rPr>
          <w:rFonts w:ascii="Arial" w:hAnsi="Arial" w:cs="Arial"/>
          <w:sz w:val="20"/>
          <w:szCs w:val="20"/>
        </w:rPr>
        <w:t xml:space="preserve"> tisular en </w:t>
      </w:r>
      <w:r w:rsidR="00643837" w:rsidRPr="006A38AF">
        <w:rPr>
          <w:rFonts w:ascii="Arial" w:hAnsi="Arial" w:cs="Arial"/>
          <w:sz w:val="20"/>
          <w:szCs w:val="20"/>
        </w:rPr>
        <w:t xml:space="preserve">35 de los 52 pacientes testados, esta prueba es muy usada, pero como </w:t>
      </w:r>
      <w:r w:rsidR="00FE5B2C" w:rsidRPr="006A38AF">
        <w:rPr>
          <w:rFonts w:ascii="Arial" w:hAnsi="Arial" w:cs="Arial"/>
          <w:sz w:val="20"/>
          <w:szCs w:val="20"/>
        </w:rPr>
        <w:t>sabemos</w:t>
      </w:r>
      <w:r w:rsidR="00643837" w:rsidRPr="006A38AF">
        <w:rPr>
          <w:rFonts w:ascii="Arial" w:hAnsi="Arial" w:cs="Arial"/>
          <w:sz w:val="20"/>
          <w:szCs w:val="20"/>
        </w:rPr>
        <w:t xml:space="preserve"> tiene </w:t>
      </w:r>
      <w:r w:rsidR="00040930" w:rsidRPr="006A38AF">
        <w:rPr>
          <w:rFonts w:ascii="Arial" w:hAnsi="Arial" w:cs="Arial"/>
          <w:sz w:val="20"/>
          <w:szCs w:val="20"/>
        </w:rPr>
        <w:t>en ocasiones</w:t>
      </w:r>
      <w:r w:rsidR="00643837" w:rsidRPr="006A38AF">
        <w:rPr>
          <w:rFonts w:ascii="Arial" w:hAnsi="Arial" w:cs="Arial"/>
          <w:sz w:val="20"/>
          <w:szCs w:val="20"/>
        </w:rPr>
        <w:t xml:space="preserve"> falsos positivos, además</w:t>
      </w:r>
      <w:r w:rsidR="00040930" w:rsidRPr="006A38AF">
        <w:rPr>
          <w:rFonts w:ascii="Arial" w:hAnsi="Arial" w:cs="Arial"/>
          <w:sz w:val="20"/>
          <w:szCs w:val="20"/>
        </w:rPr>
        <w:t xml:space="preserve">, </w:t>
      </w:r>
      <w:r w:rsidR="00643837" w:rsidRPr="006A38AF">
        <w:rPr>
          <w:rFonts w:ascii="Arial" w:hAnsi="Arial" w:cs="Arial"/>
          <w:sz w:val="20"/>
          <w:szCs w:val="20"/>
        </w:rPr>
        <w:t>es tributaria en pacientes con dieta libre pues estos anticuerpos se negativiz</w:t>
      </w:r>
      <w:r w:rsidR="00040930" w:rsidRPr="006A38AF">
        <w:rPr>
          <w:rFonts w:ascii="Arial" w:hAnsi="Arial" w:cs="Arial"/>
          <w:sz w:val="20"/>
          <w:szCs w:val="20"/>
        </w:rPr>
        <w:t>an a los 6 meses de estar con</w:t>
      </w:r>
      <w:r w:rsidR="00643837" w:rsidRPr="006A38AF">
        <w:rPr>
          <w:rFonts w:ascii="Arial" w:hAnsi="Arial" w:cs="Arial"/>
          <w:sz w:val="20"/>
          <w:szCs w:val="20"/>
        </w:rPr>
        <w:t xml:space="preserve"> dieta sin gluten, la ventaja de esta técnica, es cubana, rápida, de poca complejidad en su realización</w:t>
      </w:r>
      <w:r w:rsidR="00040930" w:rsidRPr="006A38AF">
        <w:rPr>
          <w:rFonts w:ascii="Arial" w:hAnsi="Arial" w:cs="Arial"/>
          <w:sz w:val="20"/>
          <w:szCs w:val="20"/>
        </w:rPr>
        <w:t xml:space="preserve"> y</w:t>
      </w:r>
      <w:r w:rsidR="00643837" w:rsidRPr="006A38AF">
        <w:rPr>
          <w:rFonts w:ascii="Arial" w:hAnsi="Arial" w:cs="Arial"/>
          <w:sz w:val="20"/>
          <w:szCs w:val="20"/>
        </w:rPr>
        <w:t xml:space="preserve"> sirve para evaluar trasgresiones y/o contaminaciones de la dieta</w:t>
      </w:r>
      <w:r w:rsidR="00040930" w:rsidRPr="006A38AF">
        <w:rPr>
          <w:rFonts w:ascii="Arial" w:hAnsi="Arial" w:cs="Arial"/>
          <w:sz w:val="20"/>
          <w:szCs w:val="20"/>
        </w:rPr>
        <w:t>.</w:t>
      </w:r>
    </w:p>
    <w:p w:rsidR="00643837" w:rsidRPr="006A38AF" w:rsidRDefault="00643837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Al analizar el comportamiento de la presencia o no de los </w:t>
      </w:r>
      <w:r w:rsidR="00040930" w:rsidRPr="006A38AF">
        <w:rPr>
          <w:rFonts w:ascii="Arial" w:hAnsi="Arial" w:cs="Arial"/>
          <w:sz w:val="20"/>
          <w:szCs w:val="20"/>
        </w:rPr>
        <w:t>a</w:t>
      </w:r>
      <w:r w:rsidR="00191F6E" w:rsidRPr="006A38AF">
        <w:rPr>
          <w:rFonts w:ascii="Arial" w:hAnsi="Arial" w:cs="Arial"/>
          <w:sz w:val="20"/>
          <w:szCs w:val="20"/>
        </w:rPr>
        <w:t>lelos</w:t>
      </w:r>
      <w:r w:rsidRPr="006A38AF">
        <w:rPr>
          <w:rFonts w:ascii="Arial" w:hAnsi="Arial" w:cs="Arial"/>
          <w:sz w:val="20"/>
          <w:szCs w:val="20"/>
        </w:rPr>
        <w:t xml:space="preserve"> DQ</w:t>
      </w:r>
      <w:r w:rsidR="00C76F1F" w:rsidRPr="006A38AF">
        <w:rPr>
          <w:rFonts w:ascii="Arial" w:hAnsi="Arial" w:cs="Arial"/>
          <w:sz w:val="20"/>
          <w:szCs w:val="20"/>
        </w:rPr>
        <w:t xml:space="preserve"> vemos que de los 52 pacientes estudiados</w:t>
      </w:r>
      <w:r w:rsidR="00040930" w:rsidRPr="006A38AF">
        <w:rPr>
          <w:rFonts w:ascii="Arial" w:hAnsi="Arial" w:cs="Arial"/>
          <w:sz w:val="20"/>
          <w:szCs w:val="20"/>
        </w:rPr>
        <w:t>, 34 tenían la presencia de 1 o 2 de é</w:t>
      </w:r>
      <w:r w:rsidR="00FE5B2C" w:rsidRPr="006A38AF">
        <w:rPr>
          <w:rFonts w:ascii="Arial" w:hAnsi="Arial" w:cs="Arial"/>
          <w:sz w:val="20"/>
          <w:szCs w:val="20"/>
        </w:rPr>
        <w:t>stos, pero 16</w:t>
      </w:r>
      <w:r w:rsidR="000C493C" w:rsidRPr="006A38AF">
        <w:rPr>
          <w:rFonts w:ascii="Arial" w:hAnsi="Arial" w:cs="Arial"/>
          <w:sz w:val="20"/>
          <w:szCs w:val="20"/>
        </w:rPr>
        <w:t xml:space="preserve"> no los</w:t>
      </w:r>
      <w:r w:rsidR="00C76F1F" w:rsidRPr="006A38AF">
        <w:rPr>
          <w:rFonts w:ascii="Arial" w:hAnsi="Arial" w:cs="Arial"/>
          <w:sz w:val="20"/>
          <w:szCs w:val="20"/>
        </w:rPr>
        <w:t xml:space="preserve"> tenían</w:t>
      </w:r>
      <w:r w:rsidR="000C493C" w:rsidRPr="006A38AF">
        <w:rPr>
          <w:rFonts w:ascii="Arial" w:hAnsi="Arial" w:cs="Arial"/>
          <w:sz w:val="20"/>
          <w:szCs w:val="20"/>
        </w:rPr>
        <w:t xml:space="preserve"> presentes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0C493C" w:rsidRPr="006A38AF">
        <w:rPr>
          <w:rFonts w:ascii="Arial" w:hAnsi="Arial" w:cs="Arial"/>
          <w:sz w:val="20"/>
          <w:szCs w:val="20"/>
        </w:rPr>
        <w:t xml:space="preserve"> </w:t>
      </w:r>
      <w:r w:rsidR="00C76F1F" w:rsidRPr="006A38AF">
        <w:rPr>
          <w:rFonts w:ascii="Arial" w:hAnsi="Arial" w:cs="Arial"/>
          <w:sz w:val="20"/>
          <w:szCs w:val="20"/>
        </w:rPr>
        <w:t>esto confirma lo reportado por otros autores</w:t>
      </w:r>
      <w:r w:rsidR="000C493C" w:rsidRPr="006A38AF">
        <w:rPr>
          <w:rFonts w:ascii="Arial" w:hAnsi="Arial" w:cs="Arial"/>
          <w:sz w:val="20"/>
          <w:szCs w:val="20"/>
        </w:rPr>
        <w:t xml:space="preserve"> que</w:t>
      </w:r>
      <w:r w:rsidR="00C76F1F" w:rsidRPr="006A38AF">
        <w:rPr>
          <w:rFonts w:ascii="Arial" w:hAnsi="Arial" w:cs="Arial"/>
          <w:sz w:val="20"/>
          <w:szCs w:val="20"/>
        </w:rPr>
        <w:t xml:space="preserve"> tener la presencia de </w:t>
      </w:r>
      <w:r w:rsidR="00040930" w:rsidRPr="006A38AF">
        <w:rPr>
          <w:rFonts w:ascii="Arial" w:hAnsi="Arial" w:cs="Arial"/>
          <w:sz w:val="20"/>
          <w:szCs w:val="20"/>
        </w:rPr>
        <w:t>los mismos</w:t>
      </w:r>
      <w:r w:rsidR="00C76F1F" w:rsidRPr="006A38AF">
        <w:rPr>
          <w:rFonts w:ascii="Arial" w:hAnsi="Arial" w:cs="Arial"/>
          <w:sz w:val="20"/>
          <w:szCs w:val="20"/>
        </w:rPr>
        <w:t xml:space="preserve"> solamente no es condición suficiente </w:t>
      </w:r>
      <w:r w:rsidR="00C76F1F" w:rsidRPr="006A38AF">
        <w:rPr>
          <w:rFonts w:ascii="Arial" w:hAnsi="Arial" w:cs="Arial"/>
          <w:sz w:val="20"/>
          <w:szCs w:val="20"/>
        </w:rPr>
        <w:lastRenderedPageBreak/>
        <w:t>para el diagnóstico de EC</w:t>
      </w:r>
      <w:r w:rsidR="000C493C" w:rsidRPr="006A38AF">
        <w:rPr>
          <w:rFonts w:ascii="Arial" w:hAnsi="Arial" w:cs="Arial"/>
          <w:sz w:val="20"/>
          <w:szCs w:val="20"/>
        </w:rPr>
        <w:t>, ya que el 30%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="000C493C" w:rsidRPr="006A38AF">
        <w:rPr>
          <w:rFonts w:ascii="Arial" w:hAnsi="Arial" w:cs="Arial"/>
          <w:sz w:val="20"/>
          <w:szCs w:val="20"/>
        </w:rPr>
        <w:t xml:space="preserve">de la </w:t>
      </w:r>
      <w:r w:rsidR="00040930" w:rsidRPr="006A38AF">
        <w:rPr>
          <w:rFonts w:ascii="Arial" w:hAnsi="Arial" w:cs="Arial"/>
          <w:sz w:val="20"/>
          <w:szCs w:val="20"/>
        </w:rPr>
        <w:t>población</w:t>
      </w:r>
      <w:r w:rsidR="000C493C" w:rsidRPr="006A38AF">
        <w:rPr>
          <w:rFonts w:ascii="Arial" w:hAnsi="Arial" w:cs="Arial"/>
          <w:sz w:val="20"/>
          <w:szCs w:val="20"/>
        </w:rPr>
        <w:t xml:space="preserve"> tiene estos alelos presentes así como el paciente celiaco tiene en 90 a 95 % el DQ</w:t>
      </w:r>
      <w:r w:rsidR="000C493C" w:rsidRPr="006A38AF">
        <w:rPr>
          <w:rFonts w:ascii="Arial" w:hAnsi="Arial" w:cs="Arial"/>
          <w:sz w:val="20"/>
          <w:szCs w:val="20"/>
          <w:vertAlign w:val="subscript"/>
        </w:rPr>
        <w:t>2</w:t>
      </w:r>
      <w:r w:rsidR="000C493C" w:rsidRPr="006A38AF">
        <w:rPr>
          <w:rFonts w:ascii="Arial" w:hAnsi="Arial" w:cs="Arial"/>
          <w:sz w:val="20"/>
          <w:szCs w:val="20"/>
        </w:rPr>
        <w:t xml:space="preserve"> y en menor cuantía el DQ</w:t>
      </w:r>
      <w:r w:rsidR="000C493C" w:rsidRPr="006A38AF">
        <w:rPr>
          <w:rFonts w:ascii="Arial" w:hAnsi="Arial" w:cs="Arial"/>
          <w:sz w:val="20"/>
          <w:szCs w:val="20"/>
          <w:vertAlign w:val="subscript"/>
        </w:rPr>
        <w:t>8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0C493C" w:rsidRPr="006A38AF">
        <w:rPr>
          <w:rFonts w:ascii="Arial" w:hAnsi="Arial" w:cs="Arial"/>
          <w:sz w:val="20"/>
          <w:szCs w:val="20"/>
        </w:rPr>
        <w:t xml:space="preserve"> como también se</w:t>
      </w:r>
      <w:r w:rsidR="00040930" w:rsidRPr="006A38AF">
        <w:rPr>
          <w:rFonts w:ascii="Arial" w:hAnsi="Arial" w:cs="Arial"/>
          <w:sz w:val="20"/>
          <w:szCs w:val="20"/>
        </w:rPr>
        <w:t xml:space="preserve"> reportan la presencia de ambos.</w:t>
      </w:r>
    </w:p>
    <w:p w:rsidR="0082397F" w:rsidRPr="006A38AF" w:rsidRDefault="00040930" w:rsidP="003342D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A38AF">
        <w:rPr>
          <w:rFonts w:ascii="Arial" w:hAnsi="Arial" w:cs="Arial"/>
          <w:b/>
          <w:sz w:val="20"/>
          <w:szCs w:val="20"/>
        </w:rPr>
        <w:t xml:space="preserve">TABLA 4 </w:t>
      </w:r>
      <w:r w:rsidRPr="006A38AF">
        <w:rPr>
          <w:rFonts w:ascii="Arial" w:hAnsi="Arial" w:cs="Arial"/>
          <w:b/>
          <w:bCs/>
          <w:sz w:val="20"/>
          <w:szCs w:val="20"/>
          <w:lang w:val="es-ES"/>
        </w:rPr>
        <w:t>RESULTADOS DE COMPLEMENTARIOS</w:t>
      </w:r>
    </w:p>
    <w:tbl>
      <w:tblPr>
        <w:tblStyle w:val="Tablaconcuadrcula"/>
        <w:tblW w:w="0" w:type="auto"/>
        <w:tblInd w:w="828" w:type="dxa"/>
        <w:tblLook w:val="04A0" w:firstRow="1" w:lastRow="0" w:firstColumn="1" w:lastColumn="0" w:noHBand="0" w:noVBand="1"/>
      </w:tblPr>
      <w:tblGrid>
        <w:gridCol w:w="4016"/>
        <w:gridCol w:w="593"/>
        <w:gridCol w:w="768"/>
        <w:gridCol w:w="1461"/>
      </w:tblGrid>
      <w:tr w:rsidR="00040930" w:rsidRPr="006A38AF" w:rsidTr="00040930">
        <w:tc>
          <w:tcPr>
            <w:tcW w:w="0" w:type="auto"/>
          </w:tcPr>
          <w:p w:rsidR="00040930" w:rsidRPr="006A38AF" w:rsidRDefault="005012DD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TIPO DE COMPLEMENTARIO</w:t>
            </w:r>
          </w:p>
        </w:tc>
        <w:tc>
          <w:tcPr>
            <w:tcW w:w="0" w:type="auto"/>
            <w:gridSpan w:val="2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PACIENTES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POR CIENTO</w:t>
            </w: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FROTIS DUODENAL PARASITOLOGICO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+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23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44,2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29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55,8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52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100</w:t>
            </w:r>
          </w:p>
        </w:tc>
      </w:tr>
      <w:tr w:rsidR="003B6690" w:rsidRPr="006A38AF" w:rsidTr="007C3642">
        <w:tc>
          <w:tcPr>
            <w:tcW w:w="0" w:type="auto"/>
            <w:gridSpan w:val="4"/>
            <w:vAlign w:val="center"/>
          </w:tcPr>
          <w:p w:rsidR="003B6690" w:rsidRPr="006A38AF" w:rsidRDefault="003B6690" w:rsidP="0033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TEST DE UREASA GASTROPYL®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+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18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34,6</w:t>
            </w:r>
          </w:p>
        </w:tc>
      </w:tr>
      <w:tr w:rsidR="00040930" w:rsidRPr="006A38AF" w:rsidTr="00040930">
        <w:tc>
          <w:tcPr>
            <w:tcW w:w="0" w:type="auto"/>
            <w:vMerge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-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34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65,4</w:t>
            </w:r>
          </w:p>
        </w:tc>
      </w:tr>
      <w:tr w:rsidR="00040930" w:rsidRPr="006A38AF" w:rsidTr="00040930">
        <w:tc>
          <w:tcPr>
            <w:tcW w:w="0" w:type="auto"/>
            <w:vMerge/>
          </w:tcPr>
          <w:p w:rsidR="00040930" w:rsidRPr="006A38AF" w:rsidRDefault="00040930" w:rsidP="00334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52</w:t>
            </w:r>
          </w:p>
        </w:tc>
        <w:tc>
          <w:tcPr>
            <w:tcW w:w="0" w:type="auto"/>
          </w:tcPr>
          <w:p w:rsidR="00040930" w:rsidRPr="006A38AF" w:rsidRDefault="00040930" w:rsidP="003342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100</w:t>
            </w:r>
          </w:p>
        </w:tc>
      </w:tr>
    </w:tbl>
    <w:p w:rsidR="00040930" w:rsidRPr="006A38AF" w:rsidRDefault="00040930" w:rsidP="003342D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342D1" w:rsidRPr="006A38AF" w:rsidRDefault="0082397F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Dentro de los estudios complementarios realizados tenemos </w:t>
      </w:r>
      <w:r w:rsidR="00040930" w:rsidRPr="006A38AF">
        <w:rPr>
          <w:rFonts w:ascii="Arial" w:hAnsi="Arial" w:cs="Arial"/>
          <w:sz w:val="20"/>
          <w:szCs w:val="20"/>
        </w:rPr>
        <w:t xml:space="preserve">las </w:t>
      </w:r>
      <w:r w:rsidRPr="006A38AF">
        <w:rPr>
          <w:rFonts w:ascii="Arial" w:hAnsi="Arial" w:cs="Arial"/>
          <w:sz w:val="20"/>
          <w:szCs w:val="20"/>
        </w:rPr>
        <w:t>infecciones asociadas como fueron la Giardiasis y la Helicobacteriosis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p</w:t>
      </w:r>
      <w:r w:rsidR="00040930" w:rsidRPr="006A38AF">
        <w:rPr>
          <w:rFonts w:ascii="Arial" w:hAnsi="Arial" w:cs="Arial"/>
          <w:sz w:val="20"/>
          <w:szCs w:val="20"/>
        </w:rPr>
        <w:t>e</w:t>
      </w:r>
      <w:r w:rsidRPr="006A38AF">
        <w:rPr>
          <w:rFonts w:ascii="Arial" w:hAnsi="Arial" w:cs="Arial"/>
          <w:sz w:val="20"/>
          <w:szCs w:val="20"/>
        </w:rPr>
        <w:t>r</w:t>
      </w:r>
      <w:r w:rsidR="00CD4DBB" w:rsidRPr="006A38AF">
        <w:rPr>
          <w:rFonts w:ascii="Arial" w:hAnsi="Arial" w:cs="Arial"/>
          <w:sz w:val="20"/>
          <w:szCs w:val="20"/>
        </w:rPr>
        <w:t xml:space="preserve"> sé no son muy significativ</w:t>
      </w:r>
      <w:r w:rsidR="00040930" w:rsidRPr="006A38AF">
        <w:rPr>
          <w:rFonts w:ascii="Arial" w:hAnsi="Arial" w:cs="Arial"/>
          <w:sz w:val="20"/>
          <w:szCs w:val="20"/>
        </w:rPr>
        <w:t>a</w:t>
      </w:r>
      <w:r w:rsidR="00CD4DBB" w:rsidRPr="006A38AF">
        <w:rPr>
          <w:rFonts w:ascii="Arial" w:hAnsi="Arial" w:cs="Arial"/>
          <w:sz w:val="20"/>
          <w:szCs w:val="20"/>
        </w:rPr>
        <w:t>s</w:t>
      </w:r>
      <w:r w:rsidR="00040930" w:rsidRPr="006A38AF">
        <w:rPr>
          <w:rFonts w:ascii="Arial" w:hAnsi="Arial" w:cs="Arial"/>
          <w:sz w:val="20"/>
          <w:szCs w:val="20"/>
        </w:rPr>
        <w:t>;</w:t>
      </w:r>
      <w:r w:rsidR="00CD4DBB" w:rsidRPr="006A38AF">
        <w:rPr>
          <w:rFonts w:ascii="Arial" w:hAnsi="Arial" w:cs="Arial"/>
          <w:sz w:val="20"/>
          <w:szCs w:val="20"/>
        </w:rPr>
        <w:t xml:space="preserve"> FD</w:t>
      </w:r>
      <w:r w:rsidR="00040930" w:rsidRPr="006A38AF">
        <w:rPr>
          <w:rFonts w:ascii="Arial" w:hAnsi="Arial" w:cs="Arial"/>
          <w:sz w:val="20"/>
          <w:szCs w:val="20"/>
        </w:rPr>
        <w:t>:</w:t>
      </w:r>
      <w:r w:rsidR="00CD4DBB" w:rsidRPr="006A38AF">
        <w:rPr>
          <w:rFonts w:ascii="Arial" w:hAnsi="Arial" w:cs="Arial"/>
          <w:sz w:val="20"/>
          <w:szCs w:val="20"/>
        </w:rPr>
        <w:t xml:space="preserve"> 2</w:t>
      </w:r>
      <w:r w:rsidRPr="006A38AF">
        <w:rPr>
          <w:rFonts w:ascii="Arial" w:hAnsi="Arial" w:cs="Arial"/>
          <w:sz w:val="20"/>
          <w:szCs w:val="20"/>
        </w:rPr>
        <w:t>3</w:t>
      </w:r>
      <w:r w:rsidR="00CD4DBB" w:rsidRPr="006A38AF">
        <w:rPr>
          <w:rFonts w:ascii="Arial" w:hAnsi="Arial" w:cs="Arial"/>
          <w:sz w:val="20"/>
          <w:szCs w:val="20"/>
        </w:rPr>
        <w:t xml:space="preserve"> positivos y TU</w:t>
      </w:r>
      <w:r w:rsidR="00040930" w:rsidRPr="006A38AF">
        <w:rPr>
          <w:rFonts w:ascii="Arial" w:hAnsi="Arial" w:cs="Arial"/>
          <w:sz w:val="20"/>
          <w:szCs w:val="20"/>
        </w:rPr>
        <w:t>:</w:t>
      </w:r>
      <w:r w:rsidR="00CD4DBB" w:rsidRPr="006A38AF">
        <w:rPr>
          <w:rFonts w:ascii="Arial" w:hAnsi="Arial" w:cs="Arial"/>
          <w:sz w:val="20"/>
          <w:szCs w:val="20"/>
        </w:rPr>
        <w:t xml:space="preserve"> 18 positivos, pero pudimos observar que </w:t>
      </w:r>
      <w:r w:rsidR="00040930" w:rsidRPr="006A38AF">
        <w:rPr>
          <w:rFonts w:ascii="Arial" w:hAnsi="Arial" w:cs="Arial"/>
          <w:sz w:val="20"/>
          <w:szCs w:val="20"/>
        </w:rPr>
        <w:t>las relaciones de las infecciones concomitantes nos enmascaran, en ocasiones,</w:t>
      </w:r>
      <w:r w:rsidR="00CD4DBB" w:rsidRPr="006A38AF">
        <w:rPr>
          <w:rFonts w:ascii="Arial" w:hAnsi="Arial" w:cs="Arial"/>
          <w:sz w:val="20"/>
          <w:szCs w:val="20"/>
        </w:rPr>
        <w:t xml:space="preserve"> el diagnóstico de EC</w:t>
      </w:r>
    </w:p>
    <w:p w:rsidR="00CD4DBB" w:rsidRPr="006A38AF" w:rsidRDefault="00040930" w:rsidP="003342D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6A38AF">
        <w:rPr>
          <w:rFonts w:ascii="Arial" w:hAnsi="Arial" w:cs="Arial"/>
          <w:b/>
          <w:sz w:val="20"/>
          <w:szCs w:val="20"/>
        </w:rPr>
        <w:t xml:space="preserve">TABLA 5 </w:t>
      </w:r>
      <w:r w:rsidRPr="006A38AF">
        <w:rPr>
          <w:rFonts w:ascii="Arial" w:hAnsi="Arial" w:cs="Arial"/>
          <w:b/>
          <w:bCs/>
          <w:sz w:val="20"/>
          <w:szCs w:val="20"/>
          <w:lang w:val="es-ES"/>
        </w:rPr>
        <w:t>RESULTADOS DE CLASIFICACION DE MARSH:</w:t>
      </w:r>
    </w:p>
    <w:tbl>
      <w:tblPr>
        <w:tblStyle w:val="Tablaconcuadrcula"/>
        <w:tblW w:w="0" w:type="auto"/>
        <w:tblInd w:w="798" w:type="dxa"/>
        <w:tblLook w:val="04A0" w:firstRow="1" w:lastRow="0" w:firstColumn="1" w:lastColumn="0" w:noHBand="0" w:noVBand="1"/>
      </w:tblPr>
      <w:tblGrid>
        <w:gridCol w:w="3993"/>
        <w:gridCol w:w="1683"/>
        <w:gridCol w:w="1361"/>
        <w:gridCol w:w="1559"/>
      </w:tblGrid>
      <w:tr w:rsidR="00040930" w:rsidRPr="006A38AF" w:rsidTr="00040930">
        <w:tc>
          <w:tcPr>
            <w:tcW w:w="0" w:type="auto"/>
            <w:gridSpan w:val="2"/>
            <w:vAlign w:val="center"/>
          </w:tcPr>
          <w:p w:rsidR="00040930" w:rsidRPr="006A38AF" w:rsidRDefault="00040930" w:rsidP="005012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TIPO DE RESULTADOS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7727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PACIENTES</w:t>
            </w:r>
          </w:p>
        </w:tc>
        <w:tc>
          <w:tcPr>
            <w:tcW w:w="0" w:type="auto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POR CIENTOS</w:t>
            </w: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8B63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TIPO 1- LINFOCITOS INTRAEPITELIALES</w:t>
            </w:r>
          </w:p>
          <w:p w:rsidR="00040930" w:rsidRPr="006A38AF" w:rsidRDefault="00040930" w:rsidP="008B63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(LIE)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&gt;40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40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76,9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&lt;40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12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23,1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5C74F3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52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100</w:t>
            </w:r>
          </w:p>
        </w:tc>
      </w:tr>
      <w:tr w:rsidR="003B6690" w:rsidRPr="006A38AF" w:rsidTr="00AD5D9D">
        <w:tc>
          <w:tcPr>
            <w:tcW w:w="0" w:type="auto"/>
            <w:gridSpan w:val="4"/>
            <w:vAlign w:val="center"/>
          </w:tcPr>
          <w:p w:rsidR="003B6690" w:rsidRPr="006A38AF" w:rsidRDefault="003B6690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TIPO 2- HIPERPLASIA GLANDULAR</w:t>
            </w:r>
          </w:p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(HPGL)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</w:t>
            </w:r>
            <w:r w:rsidR="00317615"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ATOLOGICAS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20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38,5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N</w:t>
            </w:r>
            <w:r w:rsidR="00317615"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ORMALES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32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61,5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5C74F3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3B6690" w:rsidRPr="006A38AF" w:rsidTr="00B6164D">
        <w:tc>
          <w:tcPr>
            <w:tcW w:w="0" w:type="auto"/>
            <w:gridSpan w:val="4"/>
            <w:vAlign w:val="center"/>
          </w:tcPr>
          <w:p w:rsidR="003B6690" w:rsidRPr="006A38AF" w:rsidRDefault="003B6690" w:rsidP="00317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701B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TIPO 3- VELLOSIDADES INTESTINALES</w:t>
            </w:r>
          </w:p>
          <w:p w:rsidR="00040930" w:rsidRPr="006A38AF" w:rsidRDefault="00040930" w:rsidP="00701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(V</w:t>
            </w:r>
            <w:r w:rsidR="00317615"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 xml:space="preserve"> </w:t>
            </w: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-</w:t>
            </w:r>
            <w:r w:rsidR="00317615"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 xml:space="preserve"> </w:t>
            </w: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 o N)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P</w:t>
            </w:r>
            <w:r w:rsidR="00317615"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ATOLOGICAS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7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13,5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N</w:t>
            </w:r>
            <w:r w:rsidR="00317615"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ORMALES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45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86,5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5C74F3" w:rsidP="0031761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52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A730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ES"/>
              </w:rPr>
              <w:t>100</w:t>
            </w:r>
          </w:p>
        </w:tc>
      </w:tr>
    </w:tbl>
    <w:p w:rsidR="00040930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CD4DBB" w:rsidRPr="006A38AF" w:rsidRDefault="00CD4DBB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Aunque las lesiones descritas por </w:t>
      </w:r>
      <w:r w:rsidR="00330BDE" w:rsidRPr="006A38AF">
        <w:rPr>
          <w:rFonts w:ascii="Arial" w:hAnsi="Arial" w:cs="Arial"/>
          <w:sz w:val="20"/>
          <w:szCs w:val="20"/>
        </w:rPr>
        <w:t>Marsh</w:t>
      </w:r>
      <w:r w:rsidR="00040930" w:rsidRPr="006A38AF">
        <w:rPr>
          <w:rFonts w:ascii="Arial" w:hAnsi="Arial" w:cs="Arial"/>
          <w:sz w:val="20"/>
          <w:szCs w:val="20"/>
        </w:rPr>
        <w:t xml:space="preserve"> tipo </w:t>
      </w:r>
      <w:r w:rsidR="00330BDE" w:rsidRPr="006A38AF">
        <w:rPr>
          <w:rFonts w:ascii="Arial" w:hAnsi="Arial" w:cs="Arial"/>
          <w:sz w:val="20"/>
          <w:szCs w:val="20"/>
        </w:rPr>
        <w:t>1,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="00330BDE" w:rsidRPr="006A38AF">
        <w:rPr>
          <w:rFonts w:ascii="Arial" w:hAnsi="Arial" w:cs="Arial"/>
          <w:sz w:val="20"/>
          <w:szCs w:val="20"/>
        </w:rPr>
        <w:t>2</w:t>
      </w:r>
      <w:r w:rsidR="00040930" w:rsidRPr="006A38AF">
        <w:rPr>
          <w:rFonts w:ascii="Arial" w:hAnsi="Arial" w:cs="Arial"/>
          <w:sz w:val="20"/>
          <w:szCs w:val="20"/>
        </w:rPr>
        <w:t xml:space="preserve"> o </w:t>
      </w:r>
      <w:r w:rsidR="00330BDE" w:rsidRPr="006A38AF">
        <w:rPr>
          <w:rFonts w:ascii="Arial" w:hAnsi="Arial" w:cs="Arial"/>
          <w:sz w:val="20"/>
          <w:szCs w:val="20"/>
        </w:rPr>
        <w:t xml:space="preserve">3 se consideran compatibles con el </w:t>
      </w:r>
      <w:r w:rsidR="00040930" w:rsidRPr="006A38AF">
        <w:rPr>
          <w:rFonts w:ascii="Arial" w:hAnsi="Arial" w:cs="Arial"/>
          <w:sz w:val="20"/>
          <w:szCs w:val="20"/>
        </w:rPr>
        <w:t>diagnóstico</w:t>
      </w:r>
      <w:r w:rsidR="00330BDE" w:rsidRPr="006A38AF">
        <w:rPr>
          <w:rFonts w:ascii="Arial" w:hAnsi="Arial" w:cs="Arial"/>
          <w:sz w:val="20"/>
          <w:szCs w:val="20"/>
        </w:rPr>
        <w:t xml:space="preserve"> de EC</w:t>
      </w:r>
      <w:r w:rsidR="00040930" w:rsidRPr="006A38AF">
        <w:rPr>
          <w:rFonts w:ascii="Arial" w:hAnsi="Arial" w:cs="Arial"/>
          <w:sz w:val="20"/>
          <w:szCs w:val="20"/>
        </w:rPr>
        <w:t>, ningún tipo descrito por sí</w:t>
      </w:r>
      <w:r w:rsidR="00330BDE" w:rsidRPr="006A38AF">
        <w:rPr>
          <w:rFonts w:ascii="Arial" w:hAnsi="Arial" w:cs="Arial"/>
          <w:sz w:val="20"/>
          <w:szCs w:val="20"/>
        </w:rPr>
        <w:t xml:space="preserve"> </w:t>
      </w:r>
      <w:r w:rsidR="00040930" w:rsidRPr="006A38AF">
        <w:rPr>
          <w:rFonts w:ascii="Arial" w:hAnsi="Arial" w:cs="Arial"/>
          <w:sz w:val="20"/>
          <w:szCs w:val="20"/>
        </w:rPr>
        <w:t>sólo</w:t>
      </w:r>
      <w:r w:rsidR="00330BDE" w:rsidRPr="006A38AF">
        <w:rPr>
          <w:rFonts w:ascii="Arial" w:hAnsi="Arial" w:cs="Arial"/>
          <w:sz w:val="20"/>
          <w:szCs w:val="20"/>
        </w:rPr>
        <w:t xml:space="preserve"> se consider</w:t>
      </w:r>
      <w:r w:rsidR="00040930" w:rsidRPr="006A38AF">
        <w:rPr>
          <w:rFonts w:ascii="Arial" w:hAnsi="Arial" w:cs="Arial"/>
          <w:sz w:val="20"/>
          <w:szCs w:val="20"/>
        </w:rPr>
        <w:t>a patognomónico de esta entidad;</w:t>
      </w:r>
      <w:r w:rsidR="00330BDE" w:rsidRPr="006A38AF">
        <w:rPr>
          <w:rFonts w:ascii="Arial" w:hAnsi="Arial" w:cs="Arial"/>
          <w:sz w:val="20"/>
          <w:szCs w:val="20"/>
        </w:rPr>
        <w:t xml:space="preserve"> como podemos ver en nuestra casuística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330BDE" w:rsidRPr="006A38AF">
        <w:rPr>
          <w:rFonts w:ascii="Arial" w:hAnsi="Arial" w:cs="Arial"/>
          <w:sz w:val="20"/>
          <w:szCs w:val="20"/>
        </w:rPr>
        <w:t xml:space="preserve"> lo más notorio fue</w:t>
      </w:r>
      <w:r w:rsidR="00040930" w:rsidRPr="006A38AF">
        <w:rPr>
          <w:rFonts w:ascii="Arial" w:hAnsi="Arial" w:cs="Arial"/>
          <w:sz w:val="20"/>
          <w:szCs w:val="20"/>
        </w:rPr>
        <w:t>ron</w:t>
      </w:r>
      <w:r w:rsidR="00330BDE" w:rsidRPr="006A38AF">
        <w:rPr>
          <w:rFonts w:ascii="Arial" w:hAnsi="Arial" w:cs="Arial"/>
          <w:sz w:val="20"/>
          <w:szCs w:val="20"/>
        </w:rPr>
        <w:t xml:space="preserve"> los clasificados en Marsh 1 con 40 pacientes que co</w:t>
      </w:r>
      <w:r w:rsidR="00040930" w:rsidRPr="006A38AF">
        <w:rPr>
          <w:rFonts w:ascii="Arial" w:hAnsi="Arial" w:cs="Arial"/>
          <w:sz w:val="20"/>
          <w:szCs w:val="20"/>
        </w:rPr>
        <w:t>rresponden al aumento de LIE más de</w:t>
      </w:r>
      <w:r w:rsidR="00330BDE" w:rsidRPr="006A38AF">
        <w:rPr>
          <w:rFonts w:ascii="Arial" w:hAnsi="Arial" w:cs="Arial"/>
          <w:sz w:val="20"/>
          <w:szCs w:val="20"/>
        </w:rPr>
        <w:t xml:space="preserve"> 40 % pero todos estos casos no concluyeron con el diagnóstico de la enfermedad pues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330BDE" w:rsidRPr="006A38AF">
        <w:rPr>
          <w:rFonts w:ascii="Arial" w:hAnsi="Arial" w:cs="Arial"/>
          <w:sz w:val="20"/>
          <w:szCs w:val="20"/>
        </w:rPr>
        <w:t xml:space="preserve"> como refieren otros autores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330BDE" w:rsidRPr="006A38AF">
        <w:rPr>
          <w:rFonts w:ascii="Arial" w:hAnsi="Arial" w:cs="Arial"/>
          <w:sz w:val="20"/>
          <w:szCs w:val="20"/>
        </w:rPr>
        <w:t xml:space="preserve"> otras patologías de índole infecciosa puedes enmascarar el cuadro </w:t>
      </w:r>
    </w:p>
    <w:p w:rsidR="00817B55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La clasificación</w:t>
      </w:r>
      <w:r w:rsidR="00330BDE" w:rsidRPr="006A38AF">
        <w:rPr>
          <w:rFonts w:ascii="Arial" w:hAnsi="Arial" w:cs="Arial"/>
          <w:sz w:val="20"/>
          <w:szCs w:val="20"/>
        </w:rPr>
        <w:t xml:space="preserve"> Marsh 2</w:t>
      </w:r>
      <w:r w:rsidRPr="006A38AF">
        <w:rPr>
          <w:rFonts w:ascii="Arial" w:hAnsi="Arial" w:cs="Arial"/>
          <w:sz w:val="20"/>
          <w:szCs w:val="20"/>
        </w:rPr>
        <w:t>,</w:t>
      </w:r>
      <w:r w:rsidR="00330BDE" w:rsidRPr="006A38AF">
        <w:rPr>
          <w:rFonts w:ascii="Arial" w:hAnsi="Arial" w:cs="Arial"/>
          <w:sz w:val="20"/>
          <w:szCs w:val="20"/>
        </w:rPr>
        <w:t xml:space="preserve"> que expr</w:t>
      </w:r>
      <w:r w:rsidR="00817B55" w:rsidRPr="006A38AF">
        <w:rPr>
          <w:rFonts w:ascii="Arial" w:hAnsi="Arial" w:cs="Arial"/>
          <w:sz w:val="20"/>
          <w:szCs w:val="20"/>
        </w:rPr>
        <w:t>esa HPGL es una lesión más precisa de enfermedad celiaca y la observamos en 20 pacientes, así como la atrofia vellositaria o Lesión Marsh 3 que se observó en 7 casos y que era en épocas pasadas el signo de esta enfermedad</w:t>
      </w:r>
      <w:r w:rsidRPr="006A38AF">
        <w:rPr>
          <w:rFonts w:ascii="Arial" w:hAnsi="Arial" w:cs="Arial"/>
          <w:sz w:val="20"/>
          <w:szCs w:val="20"/>
        </w:rPr>
        <w:t>.</w:t>
      </w:r>
    </w:p>
    <w:p w:rsidR="006775A7" w:rsidRDefault="006775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75A7" w:rsidRPr="006A38AF" w:rsidRDefault="006775A7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40930" w:rsidRPr="006A38AF" w:rsidRDefault="00040930" w:rsidP="009104D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38AF">
        <w:rPr>
          <w:rFonts w:ascii="Arial" w:hAnsi="Arial" w:cs="Arial"/>
          <w:b/>
          <w:sz w:val="20"/>
          <w:szCs w:val="20"/>
        </w:rPr>
        <w:t>TABLA 6: RELACION CLÍNICA, α-TRANSGLUTAMINASA, HLA e HISTOLOGÍA.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3"/>
        <w:gridCol w:w="2628"/>
        <w:gridCol w:w="1361"/>
        <w:gridCol w:w="1594"/>
      </w:tblGrid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PACIENTES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POR CIENTOS</w:t>
            </w:r>
          </w:p>
        </w:tc>
      </w:tr>
      <w:tr w:rsidR="003B6690" w:rsidRPr="006A38AF" w:rsidTr="00457442">
        <w:tc>
          <w:tcPr>
            <w:tcW w:w="0" w:type="auto"/>
            <w:gridSpan w:val="4"/>
            <w:vAlign w:val="center"/>
          </w:tcPr>
          <w:p w:rsidR="003B6690" w:rsidRPr="006A38AF" w:rsidRDefault="003B669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930" w:rsidRPr="006A38AF" w:rsidTr="00040930">
        <w:tc>
          <w:tcPr>
            <w:tcW w:w="0" w:type="auto"/>
            <w:vAlign w:val="center"/>
          </w:tcPr>
          <w:p w:rsidR="00040930" w:rsidRPr="006A38AF" w:rsidRDefault="0004093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CLINICOS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PRESENTES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3B6690" w:rsidRPr="006A38AF" w:rsidTr="00FA351A">
        <w:tc>
          <w:tcPr>
            <w:tcW w:w="0" w:type="auto"/>
            <w:gridSpan w:val="4"/>
            <w:vAlign w:val="center"/>
          </w:tcPr>
          <w:p w:rsidR="003B6690" w:rsidRPr="006A38AF" w:rsidRDefault="003B669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TRANSGLUTAMINASA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POSITIVA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67.3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NEGATIVA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32.7</w:t>
            </w:r>
          </w:p>
        </w:tc>
      </w:tr>
      <w:tr w:rsidR="003B6690" w:rsidRPr="006A38AF" w:rsidTr="00534CD4">
        <w:tc>
          <w:tcPr>
            <w:tcW w:w="0" w:type="auto"/>
            <w:gridSpan w:val="4"/>
            <w:vAlign w:val="center"/>
          </w:tcPr>
          <w:p w:rsidR="003B6690" w:rsidRPr="006A38AF" w:rsidRDefault="003B669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ALELOS DQ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PRESENTES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69.2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AUSENTES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30.8</w:t>
            </w:r>
          </w:p>
        </w:tc>
      </w:tr>
      <w:tr w:rsidR="003B6690" w:rsidRPr="006A38AF" w:rsidTr="00A328F3">
        <w:tc>
          <w:tcPr>
            <w:tcW w:w="0" w:type="auto"/>
            <w:gridSpan w:val="4"/>
            <w:vAlign w:val="center"/>
          </w:tcPr>
          <w:p w:rsidR="003B6690" w:rsidRPr="006A38AF" w:rsidRDefault="003B669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0930" w:rsidRPr="006A38AF" w:rsidTr="00040930">
        <w:tc>
          <w:tcPr>
            <w:tcW w:w="0" w:type="auto"/>
            <w:vMerge w:val="restart"/>
            <w:vAlign w:val="center"/>
          </w:tcPr>
          <w:p w:rsidR="00040930" w:rsidRPr="006A38AF" w:rsidRDefault="00040930" w:rsidP="000410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HISTOLOGÍA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LIE&gt;40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76.9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HPGL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38.5</w:t>
            </w:r>
          </w:p>
        </w:tc>
      </w:tr>
      <w:tr w:rsidR="00040930" w:rsidRPr="006A38AF" w:rsidTr="00040930">
        <w:tc>
          <w:tcPr>
            <w:tcW w:w="0" w:type="auto"/>
            <w:vMerge/>
            <w:vAlign w:val="center"/>
          </w:tcPr>
          <w:p w:rsidR="00040930" w:rsidRPr="006A38AF" w:rsidRDefault="00040930" w:rsidP="007727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ATROFIA VELLOSITARIA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40930" w:rsidRPr="006A38AF" w:rsidRDefault="00040930" w:rsidP="00910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8AF">
              <w:rPr>
                <w:rFonts w:ascii="Arial" w:hAnsi="Arial" w:cs="Arial"/>
                <w:b/>
                <w:sz w:val="20"/>
                <w:szCs w:val="20"/>
              </w:rPr>
              <w:t>13.5</w:t>
            </w:r>
          </w:p>
        </w:tc>
      </w:tr>
    </w:tbl>
    <w:p w:rsidR="00040930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E661B" w:rsidRPr="006A38AF" w:rsidRDefault="00DE661B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El resultado al relacionar</w:t>
      </w:r>
      <w:r w:rsidR="00252858" w:rsidRPr="006A38AF">
        <w:rPr>
          <w:rFonts w:ascii="Arial" w:hAnsi="Arial" w:cs="Arial"/>
          <w:sz w:val="20"/>
          <w:szCs w:val="20"/>
        </w:rPr>
        <w:t xml:space="preserve"> todos</w:t>
      </w:r>
      <w:r w:rsidRPr="006A38AF">
        <w:rPr>
          <w:rFonts w:ascii="Arial" w:hAnsi="Arial" w:cs="Arial"/>
          <w:sz w:val="20"/>
          <w:szCs w:val="20"/>
        </w:rPr>
        <w:t xml:space="preserve"> los estudios realizados nos permitió</w:t>
      </w:r>
      <w:r w:rsidR="00252858" w:rsidRPr="006A38AF">
        <w:rPr>
          <w:rFonts w:ascii="Arial" w:hAnsi="Arial" w:cs="Arial"/>
          <w:sz w:val="20"/>
          <w:szCs w:val="20"/>
        </w:rPr>
        <w:t xml:space="preserve"> ver que solamente 26 </w:t>
      </w:r>
      <w:r w:rsidR="00331121" w:rsidRPr="006A38AF">
        <w:rPr>
          <w:rFonts w:ascii="Arial" w:hAnsi="Arial" w:cs="Arial"/>
          <w:sz w:val="20"/>
          <w:szCs w:val="20"/>
        </w:rPr>
        <w:t>pacientes</w:t>
      </w:r>
      <w:r w:rsidR="00252858" w:rsidRPr="006A38AF">
        <w:rPr>
          <w:rFonts w:ascii="Arial" w:hAnsi="Arial" w:cs="Arial"/>
          <w:sz w:val="20"/>
          <w:szCs w:val="20"/>
        </w:rPr>
        <w:t xml:space="preserve"> cumplían con todos los parámetros </w:t>
      </w:r>
      <w:r w:rsidR="00861DFE" w:rsidRPr="006A38AF">
        <w:rPr>
          <w:rFonts w:ascii="Arial" w:hAnsi="Arial" w:cs="Arial"/>
          <w:sz w:val="20"/>
          <w:szCs w:val="20"/>
        </w:rPr>
        <w:t xml:space="preserve">para el </w:t>
      </w:r>
      <w:r w:rsidR="00331121" w:rsidRPr="006A38AF">
        <w:rPr>
          <w:rFonts w:ascii="Arial" w:hAnsi="Arial" w:cs="Arial"/>
          <w:sz w:val="20"/>
          <w:szCs w:val="20"/>
        </w:rPr>
        <w:t>diagnóstico</w:t>
      </w:r>
      <w:r w:rsidR="00861DFE" w:rsidRPr="006A38AF">
        <w:rPr>
          <w:rFonts w:ascii="Arial" w:hAnsi="Arial" w:cs="Arial"/>
          <w:sz w:val="20"/>
          <w:szCs w:val="20"/>
        </w:rPr>
        <w:t xml:space="preserve"> de </w:t>
      </w:r>
      <w:r w:rsidR="00040930" w:rsidRPr="006A38AF">
        <w:rPr>
          <w:rFonts w:ascii="Arial" w:hAnsi="Arial" w:cs="Arial"/>
          <w:sz w:val="20"/>
          <w:szCs w:val="20"/>
        </w:rPr>
        <w:t>e</w:t>
      </w:r>
      <w:r w:rsidR="00861DFE" w:rsidRPr="006A38AF">
        <w:rPr>
          <w:rFonts w:ascii="Arial" w:hAnsi="Arial" w:cs="Arial"/>
          <w:sz w:val="20"/>
          <w:szCs w:val="20"/>
        </w:rPr>
        <w:t>nferm</w:t>
      </w:r>
      <w:r w:rsidRPr="006A38AF">
        <w:rPr>
          <w:rFonts w:ascii="Arial" w:hAnsi="Arial" w:cs="Arial"/>
          <w:sz w:val="20"/>
          <w:szCs w:val="20"/>
        </w:rPr>
        <w:t>edad celiaca,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al partir</w:t>
      </w:r>
      <w:r w:rsidR="00331121" w:rsidRPr="006A38AF">
        <w:rPr>
          <w:rFonts w:ascii="Arial" w:hAnsi="Arial" w:cs="Arial"/>
          <w:sz w:val="20"/>
          <w:szCs w:val="20"/>
        </w:rPr>
        <w:t xml:space="preserve"> de la</w:t>
      </w:r>
      <w:r w:rsidR="00861DFE" w:rsidRPr="006A38AF">
        <w:rPr>
          <w:rFonts w:ascii="Arial" w:hAnsi="Arial" w:cs="Arial"/>
          <w:sz w:val="20"/>
          <w:szCs w:val="20"/>
        </w:rPr>
        <w:t xml:space="preserve"> clínica sugerente con 52 </w:t>
      </w:r>
      <w:r w:rsidR="00331121" w:rsidRPr="006A38AF">
        <w:rPr>
          <w:rFonts w:ascii="Arial" w:hAnsi="Arial" w:cs="Arial"/>
          <w:sz w:val="20"/>
          <w:szCs w:val="20"/>
        </w:rPr>
        <w:t>pacientes</w:t>
      </w:r>
      <w:r w:rsidRPr="006A38AF">
        <w:rPr>
          <w:rFonts w:ascii="Arial" w:hAnsi="Arial" w:cs="Arial"/>
          <w:sz w:val="20"/>
          <w:szCs w:val="20"/>
        </w:rPr>
        <w:t>,</w:t>
      </w:r>
      <w:r w:rsidR="00861DFE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una prueba</w:t>
      </w:r>
      <w:r w:rsidR="00861DFE" w:rsidRPr="006A38AF">
        <w:rPr>
          <w:rFonts w:ascii="Arial" w:hAnsi="Arial" w:cs="Arial"/>
          <w:sz w:val="20"/>
          <w:szCs w:val="20"/>
        </w:rPr>
        <w:t xml:space="preserve"> </w:t>
      </w:r>
      <w:r w:rsidR="00331121" w:rsidRPr="006A38AF">
        <w:rPr>
          <w:rFonts w:ascii="Arial" w:hAnsi="Arial" w:cs="Arial"/>
          <w:sz w:val="20"/>
          <w:szCs w:val="20"/>
        </w:rPr>
        <w:t>transglutaminasa</w:t>
      </w:r>
      <w:r w:rsidRPr="006A38AF">
        <w:rPr>
          <w:rFonts w:ascii="Arial" w:hAnsi="Arial" w:cs="Arial"/>
          <w:sz w:val="20"/>
          <w:szCs w:val="20"/>
        </w:rPr>
        <w:t xml:space="preserve"> que </w:t>
      </w:r>
      <w:r w:rsidR="00861DFE" w:rsidRPr="006A38AF">
        <w:rPr>
          <w:rFonts w:ascii="Arial" w:hAnsi="Arial" w:cs="Arial"/>
          <w:sz w:val="20"/>
          <w:szCs w:val="20"/>
        </w:rPr>
        <w:t xml:space="preserve">nos </w:t>
      </w:r>
      <w:r w:rsidR="00331121" w:rsidRPr="006A38AF">
        <w:rPr>
          <w:rFonts w:ascii="Arial" w:hAnsi="Arial" w:cs="Arial"/>
          <w:sz w:val="20"/>
          <w:szCs w:val="20"/>
        </w:rPr>
        <w:t>brindó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331121" w:rsidRPr="006A38AF">
        <w:rPr>
          <w:rFonts w:ascii="Arial" w:hAnsi="Arial" w:cs="Arial"/>
          <w:sz w:val="20"/>
          <w:szCs w:val="20"/>
        </w:rPr>
        <w:t xml:space="preserve">37 </w:t>
      </w:r>
      <w:r w:rsidR="00861DFE" w:rsidRPr="006A38AF">
        <w:rPr>
          <w:rFonts w:ascii="Arial" w:hAnsi="Arial" w:cs="Arial"/>
          <w:sz w:val="20"/>
          <w:szCs w:val="20"/>
        </w:rPr>
        <w:t xml:space="preserve">pacientes positivos que al enfrentarlos a la biopsia y al estudio genético se depuraron quedando </w:t>
      </w:r>
      <w:r w:rsidR="00040930" w:rsidRPr="006A38AF">
        <w:rPr>
          <w:rFonts w:ascii="Arial" w:hAnsi="Arial" w:cs="Arial"/>
          <w:sz w:val="20"/>
          <w:szCs w:val="20"/>
        </w:rPr>
        <w:t>sólo</w:t>
      </w:r>
      <w:r w:rsidR="00861DFE" w:rsidRPr="006A38AF">
        <w:rPr>
          <w:rFonts w:ascii="Arial" w:hAnsi="Arial" w:cs="Arial"/>
          <w:sz w:val="20"/>
          <w:szCs w:val="20"/>
        </w:rPr>
        <w:t xml:space="preserve"> el 50%, </w:t>
      </w:r>
      <w:r w:rsidRPr="006A38AF">
        <w:rPr>
          <w:rFonts w:ascii="Arial" w:hAnsi="Arial" w:cs="Arial"/>
          <w:sz w:val="20"/>
          <w:szCs w:val="20"/>
        </w:rPr>
        <w:t>nos dice cuán difícil es llegar al diagnóstico de certeza de una enfermedad que conlleva res</w:t>
      </w:r>
      <w:r w:rsidR="00040930" w:rsidRPr="006A38AF">
        <w:rPr>
          <w:rFonts w:ascii="Arial" w:hAnsi="Arial" w:cs="Arial"/>
          <w:sz w:val="20"/>
          <w:szCs w:val="20"/>
        </w:rPr>
        <w:t>tricciones de dieta de por vida.</w:t>
      </w:r>
    </w:p>
    <w:p w:rsidR="00331121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Sólo</w:t>
      </w:r>
      <w:r w:rsidR="00DE661B" w:rsidRPr="006A38AF">
        <w:rPr>
          <w:rFonts w:ascii="Arial" w:hAnsi="Arial" w:cs="Arial"/>
          <w:sz w:val="20"/>
          <w:szCs w:val="20"/>
        </w:rPr>
        <w:t xml:space="preserve"> los individuos que tengan </w:t>
      </w:r>
      <w:r w:rsidR="00F80C7D" w:rsidRPr="006A38AF">
        <w:rPr>
          <w:rFonts w:ascii="Arial" w:hAnsi="Arial" w:cs="Arial"/>
          <w:sz w:val="20"/>
          <w:szCs w:val="20"/>
        </w:rPr>
        <w:t>la predisposición genética pueden en algún momento de sus vidas enfermar con celiaquía, pero si</w:t>
      </w:r>
      <w:r w:rsidRPr="006A38AF">
        <w:rPr>
          <w:rFonts w:ascii="Arial" w:hAnsi="Arial" w:cs="Arial"/>
          <w:sz w:val="20"/>
          <w:szCs w:val="20"/>
        </w:rPr>
        <w:t>n el activador medio ambiental é</w:t>
      </w:r>
      <w:r w:rsidR="00F80C7D" w:rsidRPr="006A38AF">
        <w:rPr>
          <w:rFonts w:ascii="Arial" w:hAnsi="Arial" w:cs="Arial"/>
          <w:sz w:val="20"/>
          <w:szCs w:val="20"/>
        </w:rPr>
        <w:t>sta no se expresa de ahí la necesidad de identificar al individuo sintomático que necesita ser biopsiado</w:t>
      </w:r>
      <w:r w:rsidR="00331121" w:rsidRPr="006A38AF">
        <w:rPr>
          <w:rFonts w:ascii="Arial" w:hAnsi="Arial" w:cs="Arial"/>
          <w:sz w:val="20"/>
          <w:szCs w:val="20"/>
        </w:rPr>
        <w:t xml:space="preserve"> </w:t>
      </w:r>
      <w:r w:rsidR="00F80C7D" w:rsidRPr="006A38AF">
        <w:rPr>
          <w:rFonts w:ascii="Arial" w:hAnsi="Arial" w:cs="Arial"/>
          <w:sz w:val="20"/>
          <w:szCs w:val="20"/>
        </w:rPr>
        <w:t>y puesto en tratamiento</w:t>
      </w:r>
      <w:r w:rsidRPr="006A38AF">
        <w:rPr>
          <w:rFonts w:ascii="Arial" w:hAnsi="Arial" w:cs="Arial"/>
          <w:sz w:val="20"/>
          <w:szCs w:val="20"/>
        </w:rPr>
        <w:t>.</w:t>
      </w:r>
      <w:r w:rsidR="00F80C7D" w:rsidRPr="006A38AF">
        <w:rPr>
          <w:rFonts w:ascii="Arial" w:hAnsi="Arial" w:cs="Arial"/>
          <w:sz w:val="20"/>
          <w:szCs w:val="20"/>
        </w:rPr>
        <w:t xml:space="preserve"> </w:t>
      </w:r>
    </w:p>
    <w:p w:rsidR="00252858" w:rsidRPr="0004108E" w:rsidRDefault="00F80C7D" w:rsidP="007727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A38AF">
        <w:rPr>
          <w:rFonts w:ascii="Arial" w:hAnsi="Arial" w:cs="Arial"/>
          <w:sz w:val="20"/>
          <w:szCs w:val="20"/>
        </w:rPr>
        <w:t>Nuestro planteamiento</w:t>
      </w:r>
      <w:r w:rsidR="00861DFE" w:rsidRPr="006A38AF">
        <w:rPr>
          <w:rFonts w:ascii="Arial" w:hAnsi="Arial" w:cs="Arial"/>
          <w:sz w:val="20"/>
          <w:szCs w:val="20"/>
        </w:rPr>
        <w:t xml:space="preserve"> es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861DFE" w:rsidRPr="006A38AF">
        <w:rPr>
          <w:rFonts w:ascii="Arial" w:hAnsi="Arial" w:cs="Arial"/>
          <w:sz w:val="20"/>
          <w:szCs w:val="20"/>
        </w:rPr>
        <w:t xml:space="preserve"> de los 4 criterios que </w:t>
      </w:r>
      <w:r w:rsidR="00040930" w:rsidRPr="006A38AF">
        <w:rPr>
          <w:rFonts w:ascii="Arial" w:hAnsi="Arial" w:cs="Arial"/>
          <w:sz w:val="20"/>
          <w:szCs w:val="20"/>
        </w:rPr>
        <w:t>hemos analizado</w:t>
      </w:r>
      <w:r w:rsidR="00861DFE" w:rsidRPr="006A38AF">
        <w:rPr>
          <w:rFonts w:ascii="Arial" w:hAnsi="Arial" w:cs="Arial"/>
          <w:sz w:val="20"/>
          <w:szCs w:val="20"/>
        </w:rPr>
        <w:t xml:space="preserve"> se deben tener al menos 3 positivos</w:t>
      </w:r>
      <w:r w:rsidRPr="006A38AF">
        <w:rPr>
          <w:rFonts w:ascii="Arial" w:hAnsi="Arial" w:cs="Arial"/>
          <w:sz w:val="20"/>
          <w:szCs w:val="20"/>
        </w:rPr>
        <w:t xml:space="preserve"> para ser diagnosticado como celiaco</w:t>
      </w:r>
      <w:r w:rsidR="00861DFE" w:rsidRPr="006A38AF">
        <w:rPr>
          <w:rFonts w:ascii="Arial" w:hAnsi="Arial" w:cs="Arial"/>
          <w:sz w:val="20"/>
          <w:szCs w:val="20"/>
        </w:rPr>
        <w:t xml:space="preserve"> </w:t>
      </w:r>
    </w:p>
    <w:p w:rsidR="00861DFE" w:rsidRPr="006A38AF" w:rsidRDefault="003342D1" w:rsidP="0077278E">
      <w:pPr>
        <w:spacing w:line="240" w:lineRule="auto"/>
        <w:jc w:val="both"/>
        <w:rPr>
          <w:rFonts w:ascii="Arial" w:hAnsi="Arial" w:cs="Arial"/>
          <w:b/>
        </w:rPr>
      </w:pPr>
      <w:r w:rsidRPr="006A38AF">
        <w:rPr>
          <w:rFonts w:ascii="Arial" w:hAnsi="Arial" w:cs="Arial"/>
          <w:b/>
        </w:rPr>
        <w:t xml:space="preserve">IV- </w:t>
      </w:r>
      <w:r w:rsidR="00861DFE" w:rsidRPr="006A38AF">
        <w:rPr>
          <w:rFonts w:ascii="Arial" w:hAnsi="Arial" w:cs="Arial"/>
          <w:b/>
        </w:rPr>
        <w:t>CRITERIOS</w:t>
      </w:r>
      <w:r w:rsidR="009216AC" w:rsidRPr="006A38AF">
        <w:rPr>
          <w:rFonts w:ascii="Arial" w:hAnsi="Arial" w:cs="Arial"/>
          <w:b/>
        </w:rPr>
        <w:t xml:space="preserve"> DE CELIAQUIA</w:t>
      </w:r>
      <w:r w:rsidR="00040930" w:rsidRPr="006A38AF">
        <w:rPr>
          <w:rFonts w:ascii="Arial" w:hAnsi="Arial" w:cs="Arial"/>
          <w:b/>
        </w:rPr>
        <w:t>:</w:t>
      </w:r>
    </w:p>
    <w:p w:rsidR="00861DFE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1- </w:t>
      </w:r>
      <w:r w:rsidR="00861DFE" w:rsidRPr="006A38AF">
        <w:rPr>
          <w:rFonts w:ascii="Arial" w:hAnsi="Arial" w:cs="Arial"/>
          <w:sz w:val="20"/>
          <w:szCs w:val="20"/>
        </w:rPr>
        <w:t xml:space="preserve">Clínica sugestiva de EC con síntomas y signos digestivos y/o </w:t>
      </w:r>
      <w:r w:rsidR="00331121" w:rsidRPr="006A38AF">
        <w:rPr>
          <w:rFonts w:ascii="Arial" w:hAnsi="Arial" w:cs="Arial"/>
          <w:sz w:val="20"/>
          <w:szCs w:val="20"/>
        </w:rPr>
        <w:t>extradigestivos,</w:t>
      </w:r>
      <w:r w:rsidR="00861DFE" w:rsidRPr="006A38AF">
        <w:rPr>
          <w:rFonts w:ascii="Arial" w:hAnsi="Arial" w:cs="Arial"/>
          <w:sz w:val="20"/>
          <w:szCs w:val="20"/>
        </w:rPr>
        <w:t xml:space="preserve"> respuesta a la dieta sin gluten</w:t>
      </w:r>
      <w:r w:rsidRPr="006A38AF">
        <w:rPr>
          <w:rFonts w:ascii="Arial" w:hAnsi="Arial" w:cs="Arial"/>
          <w:sz w:val="20"/>
          <w:szCs w:val="20"/>
        </w:rPr>
        <w:t>,</w:t>
      </w:r>
      <w:r w:rsidR="00861DFE" w:rsidRPr="006A38AF">
        <w:rPr>
          <w:rFonts w:ascii="Arial" w:hAnsi="Arial" w:cs="Arial"/>
          <w:sz w:val="20"/>
          <w:szCs w:val="20"/>
        </w:rPr>
        <w:t xml:space="preserve"> que conduce a la normalización de las pruebas serológicas y a la resolución de las lesiones histológicas </w:t>
      </w:r>
    </w:p>
    <w:p w:rsidR="000C0307" w:rsidRPr="006A38AF" w:rsidRDefault="00861DFE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2-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Biopsia duodenal con clasificación</w:t>
      </w:r>
      <w:r w:rsidR="000C0307" w:rsidRPr="006A38AF">
        <w:rPr>
          <w:rFonts w:ascii="Arial" w:hAnsi="Arial" w:cs="Arial"/>
          <w:sz w:val="20"/>
          <w:szCs w:val="20"/>
        </w:rPr>
        <w:t xml:space="preserve"> según criterios</w:t>
      </w:r>
      <w:r w:rsidRPr="006A38AF">
        <w:rPr>
          <w:rFonts w:ascii="Arial" w:hAnsi="Arial" w:cs="Arial"/>
          <w:sz w:val="20"/>
          <w:szCs w:val="20"/>
        </w:rPr>
        <w:t xml:space="preserve"> de Marsh</w:t>
      </w:r>
      <w:r w:rsidR="000C0307" w:rsidRPr="006A38AF">
        <w:rPr>
          <w:rFonts w:ascii="Arial" w:hAnsi="Arial" w:cs="Arial"/>
          <w:sz w:val="20"/>
          <w:szCs w:val="20"/>
        </w:rPr>
        <w:t xml:space="preserve"> modificada 1,</w:t>
      </w:r>
      <w:r w:rsidR="00040930" w:rsidRPr="006A38AF">
        <w:rPr>
          <w:rFonts w:ascii="Arial" w:hAnsi="Arial" w:cs="Arial"/>
          <w:sz w:val="20"/>
          <w:szCs w:val="20"/>
        </w:rPr>
        <w:t xml:space="preserve"> 2 o </w:t>
      </w:r>
      <w:r w:rsidR="000C0307" w:rsidRPr="006A38AF">
        <w:rPr>
          <w:rFonts w:ascii="Arial" w:hAnsi="Arial" w:cs="Arial"/>
          <w:sz w:val="20"/>
          <w:szCs w:val="20"/>
        </w:rPr>
        <w:t>3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0C0307" w:rsidRPr="006A38AF">
        <w:rPr>
          <w:rFonts w:ascii="Arial" w:hAnsi="Arial" w:cs="Arial"/>
          <w:sz w:val="20"/>
          <w:szCs w:val="20"/>
        </w:rPr>
        <w:t xml:space="preserve"> patrón de oro </w:t>
      </w:r>
    </w:p>
    <w:p w:rsidR="00861DFE" w:rsidRPr="006A38AF" w:rsidRDefault="000C0307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3-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Pruebas serológicas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en nuestro medio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Pr="006A38AF">
        <w:rPr>
          <w:rFonts w:ascii="Arial" w:hAnsi="Arial" w:cs="Arial"/>
          <w:sz w:val="20"/>
          <w:szCs w:val="20"/>
        </w:rPr>
        <w:t xml:space="preserve"> determinación de IgA </w:t>
      </w:r>
      <w:r w:rsidR="00331121" w:rsidRPr="006A38AF">
        <w:rPr>
          <w:rFonts w:ascii="Arial" w:hAnsi="Arial" w:cs="Arial"/>
          <w:sz w:val="20"/>
          <w:szCs w:val="20"/>
        </w:rPr>
        <w:t>anti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="00331121" w:rsidRPr="006A38AF">
        <w:rPr>
          <w:rFonts w:ascii="Arial" w:hAnsi="Arial" w:cs="Arial"/>
          <w:sz w:val="20"/>
          <w:szCs w:val="20"/>
        </w:rPr>
        <w:t>transglutaminasa</w:t>
      </w:r>
      <w:r w:rsidRPr="006A38AF">
        <w:rPr>
          <w:rFonts w:ascii="Arial" w:hAnsi="Arial" w:cs="Arial"/>
          <w:sz w:val="20"/>
          <w:szCs w:val="20"/>
        </w:rPr>
        <w:t xml:space="preserve"> tisular positiva</w:t>
      </w:r>
      <w:r w:rsidR="00040930" w:rsidRPr="006A38AF">
        <w:rPr>
          <w:rFonts w:ascii="Arial" w:hAnsi="Arial" w:cs="Arial"/>
          <w:sz w:val="20"/>
          <w:szCs w:val="20"/>
        </w:rPr>
        <w:t>.</w:t>
      </w:r>
    </w:p>
    <w:p w:rsidR="000C0307" w:rsidRPr="006A38AF" w:rsidRDefault="000C0307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4-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 xml:space="preserve">Prueba </w:t>
      </w:r>
      <w:r w:rsidR="00331121" w:rsidRPr="006A38AF">
        <w:rPr>
          <w:rFonts w:ascii="Arial" w:hAnsi="Arial" w:cs="Arial"/>
          <w:sz w:val="20"/>
          <w:szCs w:val="20"/>
        </w:rPr>
        <w:t>genética</w:t>
      </w:r>
      <w:r w:rsidRPr="006A38AF">
        <w:rPr>
          <w:rFonts w:ascii="Arial" w:hAnsi="Arial" w:cs="Arial"/>
          <w:sz w:val="20"/>
          <w:szCs w:val="20"/>
        </w:rPr>
        <w:t xml:space="preserve"> con la determinación de los </w:t>
      </w:r>
      <w:r w:rsidR="00331121" w:rsidRPr="006A38AF">
        <w:rPr>
          <w:rFonts w:ascii="Arial" w:hAnsi="Arial" w:cs="Arial"/>
          <w:sz w:val="20"/>
          <w:szCs w:val="20"/>
        </w:rPr>
        <w:t>alelos</w:t>
      </w:r>
      <w:r w:rsidR="00040930" w:rsidRPr="006A38AF">
        <w:rPr>
          <w:rFonts w:ascii="Arial" w:hAnsi="Arial" w:cs="Arial"/>
          <w:sz w:val="20"/>
          <w:szCs w:val="20"/>
        </w:rPr>
        <w:t xml:space="preserve"> HLA</w:t>
      </w:r>
      <w:r w:rsidR="00331121" w:rsidRPr="006A38AF">
        <w:rPr>
          <w:rFonts w:ascii="Arial" w:hAnsi="Arial" w:cs="Arial"/>
          <w:sz w:val="20"/>
          <w:szCs w:val="20"/>
        </w:rPr>
        <w:t xml:space="preserve"> DQ</w:t>
      </w:r>
      <w:r w:rsidRPr="006A38AF">
        <w:rPr>
          <w:rFonts w:ascii="Arial" w:hAnsi="Arial" w:cs="Arial"/>
          <w:sz w:val="20"/>
          <w:szCs w:val="20"/>
          <w:vertAlign w:val="subscript"/>
        </w:rPr>
        <w:t>2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-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DQ</w:t>
      </w:r>
      <w:r w:rsidRPr="006A38AF">
        <w:rPr>
          <w:rFonts w:ascii="Arial" w:hAnsi="Arial" w:cs="Arial"/>
          <w:sz w:val="20"/>
          <w:szCs w:val="20"/>
          <w:vertAlign w:val="subscript"/>
        </w:rPr>
        <w:t>8</w:t>
      </w:r>
      <w:r w:rsidR="00040930" w:rsidRPr="006A38AF">
        <w:rPr>
          <w:rFonts w:ascii="Arial" w:hAnsi="Arial" w:cs="Arial"/>
          <w:sz w:val="20"/>
          <w:szCs w:val="20"/>
        </w:rPr>
        <w:t>.</w:t>
      </w:r>
    </w:p>
    <w:p w:rsidR="000C0307" w:rsidRPr="006A38AF" w:rsidRDefault="000C0307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Como </w:t>
      </w:r>
      <w:r w:rsidR="00040930" w:rsidRPr="006A38AF">
        <w:rPr>
          <w:rFonts w:ascii="Arial" w:hAnsi="Arial" w:cs="Arial"/>
          <w:sz w:val="20"/>
          <w:szCs w:val="20"/>
        </w:rPr>
        <w:t>se observa</w:t>
      </w:r>
      <w:r w:rsidRPr="006A38AF">
        <w:rPr>
          <w:rFonts w:ascii="Arial" w:hAnsi="Arial" w:cs="Arial"/>
          <w:sz w:val="20"/>
          <w:szCs w:val="20"/>
        </w:rPr>
        <w:t xml:space="preserve"> de estos </w:t>
      </w:r>
      <w:r w:rsidR="00040930" w:rsidRPr="006A38AF">
        <w:rPr>
          <w:rFonts w:ascii="Arial" w:hAnsi="Arial" w:cs="Arial"/>
          <w:sz w:val="20"/>
          <w:szCs w:val="20"/>
        </w:rPr>
        <w:t xml:space="preserve">cuatro </w:t>
      </w:r>
      <w:r w:rsidRPr="006A38AF">
        <w:rPr>
          <w:rFonts w:ascii="Arial" w:hAnsi="Arial" w:cs="Arial"/>
          <w:sz w:val="20"/>
          <w:szCs w:val="20"/>
        </w:rPr>
        <w:t>criterios</w:t>
      </w:r>
      <w:r w:rsidR="00040930" w:rsidRPr="006A38AF">
        <w:rPr>
          <w:rFonts w:ascii="Arial" w:hAnsi="Arial" w:cs="Arial"/>
          <w:sz w:val="20"/>
          <w:szCs w:val="20"/>
        </w:rPr>
        <w:t>, tres</w:t>
      </w:r>
      <w:r w:rsidRPr="006A38AF">
        <w:rPr>
          <w:rFonts w:ascii="Arial" w:hAnsi="Arial" w:cs="Arial"/>
          <w:sz w:val="20"/>
          <w:szCs w:val="20"/>
        </w:rPr>
        <w:t xml:space="preserve"> dependen de nuestros medios </w:t>
      </w:r>
      <w:r w:rsidR="00331121" w:rsidRPr="006A38AF">
        <w:rPr>
          <w:rFonts w:ascii="Arial" w:hAnsi="Arial" w:cs="Arial"/>
          <w:sz w:val="20"/>
          <w:szCs w:val="20"/>
        </w:rPr>
        <w:t>diagnósticos</w:t>
      </w:r>
      <w:r w:rsidRPr="006A38AF">
        <w:rPr>
          <w:rFonts w:ascii="Arial" w:hAnsi="Arial" w:cs="Arial"/>
          <w:sz w:val="20"/>
          <w:szCs w:val="20"/>
        </w:rPr>
        <w:t xml:space="preserve"> que deben ser usados con responsabilidad y certeza para dar evidencia científica</w:t>
      </w:r>
      <w:r w:rsidR="00331121" w:rsidRPr="006A38AF">
        <w:rPr>
          <w:rFonts w:ascii="Arial" w:hAnsi="Arial" w:cs="Arial"/>
          <w:sz w:val="20"/>
          <w:szCs w:val="20"/>
        </w:rPr>
        <w:t xml:space="preserve"> a nuestros </w:t>
      </w:r>
      <w:r w:rsidR="00F80C7D" w:rsidRPr="006A38AF">
        <w:rPr>
          <w:rFonts w:ascii="Arial" w:hAnsi="Arial" w:cs="Arial"/>
          <w:sz w:val="20"/>
          <w:szCs w:val="20"/>
        </w:rPr>
        <w:t>médicos</w:t>
      </w:r>
      <w:r w:rsidR="00040930" w:rsidRPr="006A38AF">
        <w:rPr>
          <w:rFonts w:ascii="Arial" w:hAnsi="Arial" w:cs="Arial"/>
          <w:sz w:val="20"/>
          <w:szCs w:val="20"/>
        </w:rPr>
        <w:t>,</w:t>
      </w:r>
      <w:r w:rsidR="00F80C7D" w:rsidRPr="006A38AF">
        <w:rPr>
          <w:rFonts w:ascii="Arial" w:hAnsi="Arial" w:cs="Arial"/>
          <w:sz w:val="20"/>
          <w:szCs w:val="20"/>
        </w:rPr>
        <w:t xml:space="preserve"> para un diagnóstico certero de</w:t>
      </w:r>
      <w:r w:rsidRPr="006A38AF">
        <w:rPr>
          <w:rFonts w:ascii="Arial" w:hAnsi="Arial" w:cs="Arial"/>
          <w:sz w:val="20"/>
          <w:szCs w:val="20"/>
        </w:rPr>
        <w:t xml:space="preserve"> la enfermedad </w:t>
      </w:r>
      <w:r w:rsidR="00F80C7D" w:rsidRPr="006A38AF">
        <w:rPr>
          <w:rFonts w:ascii="Arial" w:hAnsi="Arial" w:cs="Arial"/>
          <w:sz w:val="20"/>
          <w:szCs w:val="20"/>
        </w:rPr>
        <w:t>celiaca.</w:t>
      </w:r>
      <w:r w:rsidR="00331121" w:rsidRPr="006A38AF">
        <w:rPr>
          <w:rFonts w:ascii="Arial" w:hAnsi="Arial" w:cs="Arial"/>
          <w:sz w:val="20"/>
          <w:szCs w:val="20"/>
        </w:rPr>
        <w:t xml:space="preserve">  </w:t>
      </w:r>
    </w:p>
    <w:p w:rsidR="00F80C7D" w:rsidRPr="006A38AF" w:rsidRDefault="003342D1" w:rsidP="0077278E">
      <w:pPr>
        <w:spacing w:line="240" w:lineRule="auto"/>
        <w:jc w:val="both"/>
        <w:rPr>
          <w:rFonts w:ascii="Arial" w:hAnsi="Arial" w:cs="Arial"/>
          <w:b/>
        </w:rPr>
      </w:pPr>
      <w:r w:rsidRPr="006A38AF">
        <w:rPr>
          <w:rFonts w:ascii="Arial" w:hAnsi="Arial" w:cs="Arial"/>
          <w:b/>
        </w:rPr>
        <w:t xml:space="preserve">V- </w:t>
      </w:r>
      <w:r w:rsidR="00040930" w:rsidRPr="006A38AF">
        <w:rPr>
          <w:rFonts w:ascii="Arial" w:hAnsi="Arial" w:cs="Arial"/>
          <w:b/>
        </w:rPr>
        <w:t>CONCLUSIONES:</w:t>
      </w:r>
    </w:p>
    <w:p w:rsidR="00F80C7D" w:rsidRPr="006A38AF" w:rsidRDefault="00040930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1- </w:t>
      </w:r>
      <w:r w:rsidR="00F80C7D" w:rsidRPr="006A38AF">
        <w:rPr>
          <w:rFonts w:ascii="Arial" w:hAnsi="Arial" w:cs="Arial"/>
          <w:sz w:val="20"/>
          <w:szCs w:val="20"/>
        </w:rPr>
        <w:t>El uso de los medios diagnósticos es vital para la certeza</w:t>
      </w:r>
      <w:r w:rsidRPr="006A38AF">
        <w:rPr>
          <w:rFonts w:ascii="Arial" w:hAnsi="Arial" w:cs="Arial"/>
          <w:sz w:val="20"/>
          <w:szCs w:val="20"/>
        </w:rPr>
        <w:t xml:space="preserve"> diagnóstica</w:t>
      </w:r>
      <w:r w:rsidR="00F80C7D" w:rsidRPr="006A38AF">
        <w:rPr>
          <w:rFonts w:ascii="Arial" w:hAnsi="Arial" w:cs="Arial"/>
          <w:sz w:val="20"/>
          <w:szCs w:val="20"/>
        </w:rPr>
        <w:t xml:space="preserve"> de Enfermedad Celiaca</w:t>
      </w:r>
      <w:r w:rsidRPr="006A38AF">
        <w:rPr>
          <w:rFonts w:ascii="Arial" w:hAnsi="Arial" w:cs="Arial"/>
          <w:sz w:val="20"/>
          <w:szCs w:val="20"/>
        </w:rPr>
        <w:t>.</w:t>
      </w:r>
    </w:p>
    <w:p w:rsidR="00F80C7D" w:rsidRPr="006A38AF" w:rsidRDefault="00F80C7D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2</w:t>
      </w:r>
      <w:r w:rsidR="00040930" w:rsidRPr="006A38AF">
        <w:rPr>
          <w:rFonts w:ascii="Arial" w:hAnsi="Arial" w:cs="Arial"/>
          <w:sz w:val="20"/>
          <w:szCs w:val="20"/>
        </w:rPr>
        <w:t>-. Una</w:t>
      </w:r>
      <w:r w:rsidR="00B966D1" w:rsidRPr="006A38AF">
        <w:rPr>
          <w:rFonts w:ascii="Arial" w:hAnsi="Arial" w:cs="Arial"/>
          <w:sz w:val="20"/>
          <w:szCs w:val="20"/>
        </w:rPr>
        <w:t xml:space="preserve"> sola de las determinaciones planteadas en este trabajo no conlleva al diagnóstico de Enfermedad celiaca</w:t>
      </w:r>
      <w:r w:rsidR="00040930" w:rsidRPr="006A38AF">
        <w:rPr>
          <w:rFonts w:ascii="Arial" w:hAnsi="Arial" w:cs="Arial"/>
          <w:sz w:val="20"/>
          <w:szCs w:val="20"/>
        </w:rPr>
        <w:t>.</w:t>
      </w:r>
      <w:r w:rsidR="00B966D1" w:rsidRPr="006A38AF">
        <w:rPr>
          <w:rFonts w:ascii="Arial" w:hAnsi="Arial" w:cs="Arial"/>
          <w:sz w:val="20"/>
          <w:szCs w:val="20"/>
        </w:rPr>
        <w:t xml:space="preserve">  </w:t>
      </w:r>
      <w:r w:rsidR="00F350C4" w:rsidRPr="006A38AF">
        <w:rPr>
          <w:rFonts w:ascii="Arial" w:hAnsi="Arial" w:cs="Arial"/>
          <w:sz w:val="20"/>
          <w:szCs w:val="20"/>
        </w:rPr>
        <w:t xml:space="preserve"> </w:t>
      </w:r>
    </w:p>
    <w:p w:rsidR="00F350C4" w:rsidRPr="006A38AF" w:rsidRDefault="00F350C4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3- </w:t>
      </w:r>
      <w:r w:rsidR="00040930" w:rsidRPr="006A38AF">
        <w:rPr>
          <w:rFonts w:ascii="Arial" w:hAnsi="Arial" w:cs="Arial"/>
          <w:sz w:val="20"/>
          <w:szCs w:val="20"/>
        </w:rPr>
        <w:t>Sólo</w:t>
      </w:r>
      <w:r w:rsidRPr="006A38AF">
        <w:rPr>
          <w:rFonts w:ascii="Arial" w:hAnsi="Arial" w:cs="Arial"/>
          <w:sz w:val="20"/>
          <w:szCs w:val="20"/>
        </w:rPr>
        <w:t xml:space="preserve"> el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50 % de lo</w:t>
      </w:r>
      <w:r w:rsidR="00D6599C" w:rsidRPr="006A38AF">
        <w:rPr>
          <w:rFonts w:ascii="Arial" w:hAnsi="Arial" w:cs="Arial"/>
          <w:sz w:val="20"/>
          <w:szCs w:val="20"/>
        </w:rPr>
        <w:t>s pacientes estudiados reunían los criterios</w:t>
      </w:r>
      <w:r w:rsidRPr="006A38AF">
        <w:rPr>
          <w:rFonts w:ascii="Arial" w:hAnsi="Arial" w:cs="Arial"/>
          <w:sz w:val="20"/>
          <w:szCs w:val="20"/>
        </w:rPr>
        <w:t xml:space="preserve"> de la EC</w:t>
      </w:r>
      <w:r w:rsidR="00040930" w:rsidRPr="006A38AF">
        <w:rPr>
          <w:rFonts w:ascii="Arial" w:hAnsi="Arial" w:cs="Arial"/>
          <w:sz w:val="20"/>
          <w:szCs w:val="20"/>
        </w:rPr>
        <w:t>.</w:t>
      </w:r>
      <w:r w:rsidRPr="006A38AF">
        <w:rPr>
          <w:rFonts w:ascii="Arial" w:hAnsi="Arial" w:cs="Arial"/>
          <w:sz w:val="20"/>
          <w:szCs w:val="20"/>
        </w:rPr>
        <w:t xml:space="preserve"> </w:t>
      </w:r>
    </w:p>
    <w:p w:rsidR="00643837" w:rsidRPr="006A38AF" w:rsidRDefault="00D6599C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>4-</w:t>
      </w:r>
      <w:r w:rsidR="00040930"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 xml:space="preserve">La biopsia duodenal nos </w:t>
      </w:r>
      <w:r w:rsidR="00B966D1" w:rsidRPr="006A38AF">
        <w:rPr>
          <w:rFonts w:ascii="Arial" w:hAnsi="Arial" w:cs="Arial"/>
          <w:sz w:val="20"/>
          <w:szCs w:val="20"/>
        </w:rPr>
        <w:t>ayuda en el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B966D1" w:rsidRPr="006A38AF">
        <w:rPr>
          <w:rFonts w:ascii="Arial" w:hAnsi="Arial" w:cs="Arial"/>
          <w:sz w:val="20"/>
          <w:szCs w:val="20"/>
        </w:rPr>
        <w:t>diagnóstico de</w:t>
      </w:r>
      <w:r w:rsidRPr="006A38AF">
        <w:rPr>
          <w:rFonts w:ascii="Arial" w:hAnsi="Arial" w:cs="Arial"/>
          <w:sz w:val="20"/>
          <w:szCs w:val="20"/>
        </w:rPr>
        <w:t xml:space="preserve"> infecciones asociadas a la mucosa </w:t>
      </w:r>
      <w:r w:rsidR="00B966D1" w:rsidRPr="006A38AF">
        <w:rPr>
          <w:rFonts w:ascii="Arial" w:hAnsi="Arial" w:cs="Arial"/>
          <w:sz w:val="20"/>
          <w:szCs w:val="20"/>
        </w:rPr>
        <w:t>en el paciente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="00040930" w:rsidRPr="006A38AF">
        <w:rPr>
          <w:rFonts w:ascii="Arial" w:hAnsi="Arial" w:cs="Arial"/>
          <w:sz w:val="20"/>
          <w:szCs w:val="20"/>
        </w:rPr>
        <w:t>celiaco o no.</w:t>
      </w:r>
    </w:p>
    <w:p w:rsidR="001919FC" w:rsidRPr="006A38AF" w:rsidRDefault="003342D1" w:rsidP="0077278E">
      <w:pPr>
        <w:spacing w:line="240" w:lineRule="auto"/>
        <w:jc w:val="both"/>
        <w:rPr>
          <w:rFonts w:ascii="Arial" w:hAnsi="Arial" w:cs="Arial"/>
          <w:b/>
        </w:rPr>
      </w:pPr>
      <w:r w:rsidRPr="006A38AF">
        <w:rPr>
          <w:rFonts w:ascii="Arial" w:hAnsi="Arial" w:cs="Arial"/>
          <w:b/>
        </w:rPr>
        <w:lastRenderedPageBreak/>
        <w:t xml:space="preserve">VI- </w:t>
      </w:r>
      <w:r w:rsidR="00963943" w:rsidRPr="006A38AF">
        <w:rPr>
          <w:rFonts w:ascii="Arial" w:hAnsi="Arial" w:cs="Arial"/>
          <w:b/>
        </w:rPr>
        <w:t>REFERENCIAS:</w:t>
      </w:r>
    </w:p>
    <w:p w:rsidR="00A84095" w:rsidRPr="006A38AF" w:rsidRDefault="00A84095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bCs/>
          <w:iCs/>
          <w:sz w:val="20"/>
          <w:szCs w:val="20"/>
        </w:rPr>
        <w:t xml:space="preserve">1- Arranz E, Garrote JA. </w:t>
      </w:r>
      <w:r w:rsidRPr="006A38AF">
        <w:rPr>
          <w:rFonts w:ascii="Arial" w:hAnsi="Arial" w:cs="Arial"/>
          <w:bCs/>
          <w:sz w:val="20"/>
          <w:szCs w:val="20"/>
        </w:rPr>
        <w:t xml:space="preserve">Enfermedad celíaca. </w:t>
      </w:r>
      <w:r w:rsidRPr="006A38AF">
        <w:rPr>
          <w:rFonts w:ascii="Arial" w:hAnsi="Arial" w:cs="Arial"/>
          <w:sz w:val="20"/>
          <w:szCs w:val="20"/>
        </w:rPr>
        <w:t xml:space="preserve">Introducción al conocimiento actual de la enfermedad celíaca. </w:t>
      </w:r>
      <w:r w:rsidRPr="006A38AF">
        <w:rPr>
          <w:rFonts w:ascii="Arial" w:hAnsi="Arial" w:cs="Arial"/>
          <w:bCs/>
          <w:sz w:val="20"/>
          <w:szCs w:val="20"/>
        </w:rPr>
        <w:t xml:space="preserve">2ª edición. </w:t>
      </w:r>
      <w:proofErr w:type="spellStart"/>
      <w:r w:rsidRPr="006A38AF">
        <w:rPr>
          <w:rFonts w:ascii="Arial" w:hAnsi="Arial" w:cs="Arial"/>
          <w:sz w:val="20"/>
          <w:szCs w:val="20"/>
        </w:rPr>
        <w:t>Ergon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Madrid. 2011 ISBN: 978-84-8473-XXX-X</w:t>
      </w:r>
    </w:p>
    <w:p w:rsidR="00A84095" w:rsidRPr="006A38AF" w:rsidRDefault="00A84095" w:rsidP="0077278E">
      <w:pPr>
        <w:spacing w:line="240" w:lineRule="auto"/>
        <w:jc w:val="both"/>
        <w:rPr>
          <w:rStyle w:val="fontstyle11"/>
          <w:rFonts w:ascii="Arial" w:hAnsi="Arial" w:cs="Arial"/>
          <w:sz w:val="20"/>
          <w:szCs w:val="20"/>
        </w:rPr>
      </w:pPr>
      <w:r w:rsidRPr="006A38AF">
        <w:rPr>
          <w:rFonts w:ascii="Arial" w:eastAsia="Arial Unicode MS" w:hAnsi="Arial" w:cs="Arial"/>
          <w:sz w:val="20"/>
          <w:szCs w:val="20"/>
        </w:rPr>
        <w:t>2- Polanco, Isabel. Libro Blanco de la Enfermedad Celíaca. Ed: ICM. Consejería de Sanidad de la Comunidad de Madrid. 2014.</w:t>
      </w:r>
      <w:r w:rsidRPr="006A38AF">
        <w:rPr>
          <w:rStyle w:val="Ttulo2Car"/>
          <w:rFonts w:ascii="Arial" w:hAnsi="Arial" w:cs="Arial"/>
          <w:sz w:val="20"/>
          <w:szCs w:val="20"/>
        </w:rPr>
        <w:t xml:space="preserve"> I</w:t>
      </w:r>
      <w:r w:rsidRPr="006A38AF">
        <w:rPr>
          <w:rStyle w:val="fontstyle01"/>
          <w:rFonts w:ascii="Arial" w:hAnsi="Arial" w:cs="Arial"/>
          <w:sz w:val="20"/>
          <w:szCs w:val="20"/>
        </w:rPr>
        <w:t xml:space="preserve">SBN </w:t>
      </w:r>
      <w:r w:rsidRPr="006A38AF">
        <w:rPr>
          <w:rStyle w:val="fontstyle11"/>
          <w:rFonts w:ascii="Arial" w:hAnsi="Arial" w:cs="Arial"/>
          <w:sz w:val="20"/>
          <w:szCs w:val="20"/>
        </w:rPr>
        <w:t>978-84-936109-4-4</w:t>
      </w:r>
    </w:p>
    <w:p w:rsidR="00A84095" w:rsidRPr="006A38AF" w:rsidRDefault="00A84095" w:rsidP="0077278E">
      <w:pPr>
        <w:spacing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A38AF">
        <w:rPr>
          <w:rFonts w:ascii="Arial" w:eastAsia="Arial Unicode MS" w:hAnsi="Arial" w:cs="Arial"/>
          <w:sz w:val="20"/>
          <w:szCs w:val="20"/>
        </w:rPr>
        <w:t xml:space="preserve">3- Castañeda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Guillot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C.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Celiac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disease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in Cuba,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forty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years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experiences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realities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its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diagnosis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Rev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Cub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Ped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>. 2016; 88(4):483-97.</w:t>
      </w:r>
    </w:p>
    <w:p w:rsidR="00A84095" w:rsidRPr="006A38AF" w:rsidRDefault="00A84095" w:rsidP="0077278E">
      <w:pPr>
        <w:pStyle w:val="Ttulo2"/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A38AF">
        <w:rPr>
          <w:rFonts w:ascii="Arial" w:hAnsi="Arial" w:cs="Arial"/>
          <w:color w:val="auto"/>
          <w:sz w:val="20"/>
          <w:szCs w:val="20"/>
        </w:rPr>
        <w:t xml:space="preserve">4- Martínez de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Zabarte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 xml:space="preserve"> Fernández JM, García Romero R, Ros Arnal I, López Campos M,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Ubalde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 xml:space="preserve"> Sainz E.</w:t>
      </w:r>
      <w:r w:rsidRPr="006A38AF">
        <w:rPr>
          <w:rFonts w:ascii="Arial" w:hAnsi="Arial" w:cs="Arial"/>
          <w:color w:val="auto"/>
          <w:sz w:val="20"/>
          <w:szCs w:val="20"/>
          <w:vertAlign w:val="superscript"/>
        </w:rPr>
        <w:t xml:space="preserve">  </w:t>
      </w:r>
      <w:r w:rsidRPr="006A38AF">
        <w:rPr>
          <w:rFonts w:ascii="Arial" w:hAnsi="Arial" w:cs="Arial"/>
          <w:color w:val="auto"/>
          <w:sz w:val="20"/>
          <w:szCs w:val="20"/>
        </w:rPr>
        <w:t xml:space="preserve">Enfermedad celíaca: ¿qué características tienen nuestros pacientes en el momento del diagnóstico?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Rev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Pediatr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 xml:space="preserve"> Aten Primaria. 2016;18(70):141-9.</w:t>
      </w:r>
      <w:r w:rsidRPr="006A38A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A38AF">
        <w:rPr>
          <w:rFonts w:ascii="Arial" w:hAnsi="Arial" w:cs="Arial"/>
          <w:color w:val="auto"/>
          <w:sz w:val="20"/>
          <w:szCs w:val="20"/>
        </w:rPr>
        <w:t>ISSN 1139-7632</w:t>
      </w:r>
    </w:p>
    <w:p w:rsidR="00577325" w:rsidRDefault="00577325" w:rsidP="00772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A84095" w:rsidRPr="006A38AF" w:rsidRDefault="00A84095" w:rsidP="00772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6A38AF">
        <w:rPr>
          <w:rFonts w:ascii="Arial" w:eastAsia="Times New Roman" w:hAnsi="Arial" w:cs="Arial"/>
          <w:sz w:val="20"/>
          <w:szCs w:val="20"/>
          <w:lang w:eastAsia="es-ES_tradnl"/>
        </w:rPr>
        <w:t xml:space="preserve">5- Felipe Moscoso JA, Rodrigo Quera P. </w:t>
      </w:r>
      <w:r w:rsidRPr="006A38AF">
        <w:rPr>
          <w:rFonts w:ascii="Arial" w:hAnsi="Arial" w:cs="Arial"/>
          <w:sz w:val="20"/>
          <w:szCs w:val="20"/>
        </w:rPr>
        <w:t xml:space="preserve">Enfermedad Celiaca: Revisión. Rev. </w:t>
      </w:r>
      <w:proofErr w:type="spellStart"/>
      <w:r w:rsidRPr="006A38AF">
        <w:rPr>
          <w:rFonts w:ascii="Arial" w:hAnsi="Arial" w:cs="Arial"/>
          <w:sz w:val="20"/>
          <w:szCs w:val="20"/>
        </w:rPr>
        <w:t>Med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38AF">
        <w:rPr>
          <w:rFonts w:ascii="Arial" w:hAnsi="Arial" w:cs="Arial"/>
          <w:sz w:val="20"/>
          <w:szCs w:val="20"/>
        </w:rPr>
        <w:t>Clinica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Las Condes. 2015; 26(5):556-710 </w:t>
      </w:r>
      <w:proofErr w:type="spellStart"/>
      <w:r w:rsidRPr="006A38AF">
        <w:rPr>
          <w:rFonts w:ascii="Arial" w:hAnsi="Arial" w:cs="Arial"/>
          <w:sz w:val="20"/>
          <w:szCs w:val="20"/>
        </w:rPr>
        <w:t>doi</w:t>
      </w:r>
      <w:proofErr w:type="spellEnd"/>
      <w:r w:rsidRPr="006A38AF">
        <w:rPr>
          <w:rFonts w:ascii="Arial" w:hAnsi="Arial" w:cs="Arial"/>
          <w:sz w:val="20"/>
          <w:szCs w:val="20"/>
        </w:rPr>
        <w:t>: 10.1016/j.rmclc.2015.09.007</w:t>
      </w:r>
    </w:p>
    <w:p w:rsidR="00577325" w:rsidRDefault="00577325" w:rsidP="0077278E">
      <w:pPr>
        <w:pStyle w:val="Ttulo2"/>
        <w:spacing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A84095" w:rsidRPr="006A38AF" w:rsidRDefault="00A84095" w:rsidP="0077278E">
      <w:pPr>
        <w:pStyle w:val="Ttulo2"/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A38AF">
        <w:rPr>
          <w:rFonts w:ascii="Arial" w:hAnsi="Arial" w:cs="Arial"/>
          <w:bCs/>
          <w:color w:val="auto"/>
          <w:sz w:val="20"/>
          <w:szCs w:val="20"/>
        </w:rPr>
        <w:t xml:space="preserve">6- Galván JA, Castañeda C, Rodríguez EA, </w:t>
      </w:r>
      <w:proofErr w:type="spellStart"/>
      <w:r w:rsidRPr="006A38AF">
        <w:rPr>
          <w:rFonts w:ascii="Arial" w:hAnsi="Arial" w:cs="Arial"/>
          <w:bCs/>
          <w:color w:val="auto"/>
          <w:sz w:val="20"/>
          <w:szCs w:val="20"/>
        </w:rPr>
        <w:t>Alvarez</w:t>
      </w:r>
      <w:proofErr w:type="spellEnd"/>
      <w:r w:rsidRPr="006A38AF">
        <w:rPr>
          <w:rFonts w:ascii="Arial" w:hAnsi="Arial" w:cs="Arial"/>
          <w:bCs/>
          <w:color w:val="auto"/>
          <w:sz w:val="20"/>
          <w:szCs w:val="20"/>
        </w:rPr>
        <w:t xml:space="preserve"> R, </w:t>
      </w:r>
      <w:proofErr w:type="spellStart"/>
      <w:r w:rsidRPr="006A38AF">
        <w:rPr>
          <w:rFonts w:ascii="Arial" w:hAnsi="Arial" w:cs="Arial"/>
          <w:bCs/>
          <w:color w:val="auto"/>
          <w:sz w:val="20"/>
          <w:szCs w:val="20"/>
        </w:rPr>
        <w:t>Turcaz</w:t>
      </w:r>
      <w:proofErr w:type="spellEnd"/>
      <w:r w:rsidRPr="006A38AF">
        <w:rPr>
          <w:rFonts w:ascii="Arial" w:hAnsi="Arial" w:cs="Arial"/>
          <w:bCs/>
          <w:color w:val="auto"/>
          <w:sz w:val="20"/>
          <w:szCs w:val="20"/>
        </w:rPr>
        <w:t xml:space="preserve"> N, Novoa LI, </w:t>
      </w:r>
      <w:proofErr w:type="spellStart"/>
      <w:r w:rsidRPr="006A38AF">
        <w:rPr>
          <w:rFonts w:ascii="Arial" w:hAnsi="Arial" w:cs="Arial"/>
          <w:bCs/>
          <w:color w:val="auto"/>
          <w:sz w:val="20"/>
          <w:szCs w:val="20"/>
        </w:rPr>
        <w:t>Palenzuela</w:t>
      </w:r>
      <w:proofErr w:type="spellEnd"/>
      <w:r w:rsidRPr="006A38AF">
        <w:rPr>
          <w:rFonts w:ascii="Arial" w:hAnsi="Arial" w:cs="Arial"/>
          <w:bCs/>
          <w:color w:val="auto"/>
          <w:sz w:val="20"/>
          <w:szCs w:val="20"/>
        </w:rPr>
        <w:t xml:space="preserve"> DO. Pesquisaje de la enfermedad celiaca en un grupo de niños cubanos sanos de la provincia de Pinar del Río.</w:t>
      </w:r>
      <w:r w:rsidRPr="006A38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Biotecnol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Apl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 xml:space="preserve"> 2010; 27(4): ISSN 1027-2852. </w:t>
      </w:r>
    </w:p>
    <w:p w:rsidR="00A84095" w:rsidRPr="006A38AF" w:rsidRDefault="00A84095" w:rsidP="0077278E">
      <w:pPr>
        <w:pStyle w:val="Ttulo2"/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84095" w:rsidRPr="006A38AF" w:rsidRDefault="00A84095" w:rsidP="0077278E">
      <w:pPr>
        <w:pStyle w:val="Ttulo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color w:val="000000"/>
          <w:sz w:val="20"/>
          <w:szCs w:val="20"/>
        </w:rPr>
        <w:t>7- Galván Cabrera JA.</w:t>
      </w:r>
      <w:r w:rsidRPr="006A38AF">
        <w:rPr>
          <w:rFonts w:ascii="Arial" w:hAnsi="Arial" w:cs="Arial"/>
          <w:sz w:val="20"/>
          <w:szCs w:val="20"/>
        </w:rPr>
        <w:t xml:space="preserve"> </w:t>
      </w:r>
      <w:r w:rsidRPr="006A38AF">
        <w:rPr>
          <w:rStyle w:val="fontstyle01"/>
          <w:rFonts w:ascii="Arial" w:hAnsi="Arial" w:cs="Arial"/>
          <w:sz w:val="20"/>
          <w:szCs w:val="20"/>
        </w:rPr>
        <w:t xml:space="preserve">Estudio de la enfermedad celíaca mediante el desarrollo de un ensayo </w:t>
      </w:r>
      <w:proofErr w:type="spellStart"/>
      <w:r w:rsidRPr="006A38AF">
        <w:rPr>
          <w:rStyle w:val="fontstyle01"/>
          <w:rFonts w:ascii="Arial" w:hAnsi="Arial" w:cs="Arial"/>
          <w:sz w:val="20"/>
          <w:szCs w:val="20"/>
        </w:rPr>
        <w:t>inmunocromatográfico</w:t>
      </w:r>
      <w:proofErr w:type="spellEnd"/>
      <w:r w:rsidRPr="006A38AF">
        <w:rPr>
          <w:rStyle w:val="fontstyle01"/>
          <w:rFonts w:ascii="Arial" w:hAnsi="Arial" w:cs="Arial"/>
          <w:sz w:val="20"/>
          <w:szCs w:val="20"/>
        </w:rPr>
        <w:t xml:space="preserve"> para la determinación de α-antitransglutaminasa.</w:t>
      </w:r>
      <w:r w:rsidRPr="006A38AF">
        <w:rPr>
          <w:rStyle w:val="Textoennegrita"/>
          <w:rFonts w:ascii="Arial" w:hAnsi="Arial" w:cs="Arial"/>
          <w:sz w:val="20"/>
          <w:szCs w:val="20"/>
        </w:rPr>
        <w:t xml:space="preserve"> [t</w:t>
      </w:r>
      <w:r w:rsidRPr="006A38AF">
        <w:rPr>
          <w:rStyle w:val="fontstyle01"/>
          <w:rFonts w:ascii="Arial" w:hAnsi="Arial" w:cs="Arial"/>
          <w:sz w:val="20"/>
          <w:szCs w:val="20"/>
        </w:rPr>
        <w:t>esis doctoral]. La Habana:</w:t>
      </w:r>
      <w:r w:rsidRPr="006A38A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6A38AF">
        <w:rPr>
          <w:rStyle w:val="fontstyle01"/>
          <w:rFonts w:ascii="Arial" w:hAnsi="Arial" w:cs="Arial"/>
          <w:sz w:val="20"/>
          <w:szCs w:val="20"/>
        </w:rPr>
        <w:t>Centro de Ingeniería Genética y Biotecnología; 2011.</w:t>
      </w:r>
    </w:p>
    <w:p w:rsidR="00A84095" w:rsidRPr="006A38AF" w:rsidRDefault="00A84095" w:rsidP="0077278E">
      <w:pPr>
        <w:spacing w:before="100" w:beforeAutospacing="1" w:after="100" w:afterAutospacing="1" w:line="240" w:lineRule="auto"/>
        <w:jc w:val="both"/>
        <w:rPr>
          <w:rStyle w:val="autores"/>
          <w:rFonts w:ascii="Arial" w:hAnsi="Arial" w:cs="Arial"/>
          <w:sz w:val="20"/>
          <w:szCs w:val="20"/>
        </w:rPr>
      </w:pPr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8- Valdés </w:t>
      </w:r>
      <w:proofErr w:type="spellStart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Landaburo</w:t>
      </w:r>
      <w:proofErr w:type="spellEnd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R, Reyes Vera JM, Lara Martín M, López Bernal OJ, </w:t>
      </w:r>
      <w:proofErr w:type="spellStart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Tamargo</w:t>
      </w:r>
      <w:proofErr w:type="spellEnd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>Barbeito</w:t>
      </w:r>
      <w:proofErr w:type="spellEnd"/>
      <w:r w:rsidRPr="006A38AF">
        <w:rPr>
          <w:rStyle w:val="Textoennegrita"/>
          <w:rFonts w:ascii="Arial" w:hAnsi="Arial" w:cs="Arial"/>
          <w:b w:val="0"/>
          <w:sz w:val="20"/>
          <w:szCs w:val="20"/>
        </w:rPr>
        <w:t xml:space="preserve"> TO, Bello Peña I.</w:t>
      </w:r>
      <w:r w:rsidRPr="006A38A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>Utilidad diagnóstica de los anticuerpos antitransglutaminasa tisular en niños con síntomas digestivos crónicos y sospecha de celiaquía. 2011</w:t>
      </w:r>
      <w:r w:rsidRPr="006A38A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6A38AF">
        <w:rPr>
          <w:rFonts w:ascii="Arial" w:hAnsi="Arial" w:cs="Arial"/>
          <w:sz w:val="20"/>
          <w:szCs w:val="20"/>
        </w:rPr>
        <w:t xml:space="preserve">Hospital Pediátrico Universitario </w:t>
      </w:r>
      <w:proofErr w:type="spellStart"/>
      <w:r w:rsidRPr="006A38AF">
        <w:rPr>
          <w:rFonts w:ascii="Arial" w:hAnsi="Arial" w:cs="Arial"/>
          <w:sz w:val="20"/>
          <w:szCs w:val="20"/>
        </w:rPr>
        <w:t>Jose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Luis Miranda,</w:t>
      </w:r>
      <w:r w:rsidRPr="006A38AF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6A38AF">
        <w:rPr>
          <w:rStyle w:val="autores"/>
          <w:rFonts w:ascii="Arial" w:hAnsi="Arial" w:cs="Arial"/>
          <w:sz w:val="20"/>
          <w:szCs w:val="20"/>
        </w:rPr>
        <w:t>Acta Médica del Centro. 2011; 5(2):</w:t>
      </w:r>
    </w:p>
    <w:p w:rsidR="00A84095" w:rsidRPr="006A38AF" w:rsidRDefault="00A84095" w:rsidP="0077278E">
      <w:pPr>
        <w:spacing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A38AF">
        <w:rPr>
          <w:rFonts w:ascii="Arial" w:eastAsia="Arial Unicode MS" w:hAnsi="Arial" w:cs="Arial"/>
          <w:sz w:val="20"/>
          <w:szCs w:val="20"/>
        </w:rPr>
        <w:t xml:space="preserve">9- J.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Stamnaes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y L.M.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Sollid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;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Celiac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disease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Autoimmunity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in response to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food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antigen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;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Seminars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Immunology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>, 2015; 27(5):343-52.</w:t>
      </w:r>
    </w:p>
    <w:p w:rsidR="00A84095" w:rsidRPr="006A38AF" w:rsidRDefault="00A84095" w:rsidP="0077278E">
      <w:pPr>
        <w:pStyle w:val="Ttulo2"/>
        <w:spacing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A38AF">
        <w:rPr>
          <w:rFonts w:ascii="Arial" w:hAnsi="Arial" w:cs="Arial"/>
          <w:bCs/>
          <w:color w:val="auto"/>
          <w:sz w:val="20"/>
          <w:szCs w:val="20"/>
        </w:rPr>
        <w:t>10- Mabel Leonides Andrade Ruiseco ML,</w:t>
      </w:r>
      <w:r w:rsidRPr="006A38AF">
        <w:rPr>
          <w:rFonts w:ascii="Arial" w:hAnsi="Arial" w:cs="Arial"/>
          <w:bCs/>
          <w:color w:val="auto"/>
          <w:sz w:val="20"/>
          <w:szCs w:val="20"/>
          <w:vertAlign w:val="superscript"/>
        </w:rPr>
        <w:t xml:space="preserve"> </w:t>
      </w:r>
      <w:r w:rsidRPr="006A38AF">
        <w:rPr>
          <w:rFonts w:ascii="Arial" w:hAnsi="Arial" w:cs="Arial"/>
          <w:bCs/>
          <w:color w:val="auto"/>
          <w:sz w:val="20"/>
          <w:szCs w:val="20"/>
        </w:rPr>
        <w:t>Wladimiro Francisco García Pérez WF,</w:t>
      </w:r>
      <w:r w:rsidRPr="006A38AF">
        <w:rPr>
          <w:rFonts w:ascii="Arial" w:hAnsi="Arial" w:cs="Arial"/>
          <w:bCs/>
          <w:color w:val="auto"/>
          <w:sz w:val="20"/>
          <w:szCs w:val="20"/>
          <w:vertAlign w:val="superscript"/>
        </w:rPr>
        <w:t xml:space="preserve"> </w:t>
      </w:r>
      <w:r w:rsidRPr="006A38AF">
        <w:rPr>
          <w:rFonts w:ascii="Arial" w:hAnsi="Arial" w:cs="Arial"/>
          <w:bCs/>
          <w:color w:val="auto"/>
          <w:sz w:val="20"/>
          <w:szCs w:val="20"/>
        </w:rPr>
        <w:t xml:space="preserve">Rosario Rodríguez </w:t>
      </w:r>
      <w:proofErr w:type="spellStart"/>
      <w:r w:rsidRPr="006A38AF">
        <w:rPr>
          <w:rFonts w:ascii="Arial" w:hAnsi="Arial" w:cs="Arial"/>
          <w:bCs/>
          <w:color w:val="auto"/>
          <w:sz w:val="20"/>
          <w:szCs w:val="20"/>
        </w:rPr>
        <w:t>Anisimenko</w:t>
      </w:r>
      <w:proofErr w:type="spellEnd"/>
      <w:r w:rsidRPr="006A38AF">
        <w:rPr>
          <w:rFonts w:ascii="Arial" w:hAnsi="Arial" w:cs="Arial"/>
          <w:bCs/>
          <w:color w:val="auto"/>
          <w:sz w:val="20"/>
          <w:szCs w:val="20"/>
        </w:rPr>
        <w:t xml:space="preserve"> R,</w:t>
      </w:r>
      <w:r w:rsidRPr="006A38AF">
        <w:rPr>
          <w:rFonts w:ascii="Arial" w:hAnsi="Arial" w:cs="Arial"/>
          <w:bCs/>
          <w:color w:val="auto"/>
          <w:sz w:val="20"/>
          <w:szCs w:val="20"/>
          <w:vertAlign w:val="superscript"/>
        </w:rPr>
        <w:t xml:space="preserve"> </w:t>
      </w:r>
      <w:r w:rsidRPr="006A38AF">
        <w:rPr>
          <w:rFonts w:ascii="Arial" w:hAnsi="Arial" w:cs="Arial"/>
          <w:bCs/>
          <w:color w:val="auto"/>
          <w:sz w:val="20"/>
          <w:szCs w:val="20"/>
        </w:rPr>
        <w:t>Yusimy Davas Andrade Y. Uso del HeberFast Line</w:t>
      </w:r>
      <w:r w:rsidRPr="006A38AF">
        <w:rPr>
          <w:rFonts w:ascii="Arial" w:hAnsi="Arial" w:cs="Arial"/>
          <w:bCs/>
          <w:color w:val="auto"/>
          <w:sz w:val="20"/>
          <w:szCs w:val="20"/>
          <w:vertAlign w:val="superscript"/>
        </w:rPr>
        <w:t>®</w:t>
      </w:r>
      <w:r w:rsidRPr="006A38AF">
        <w:rPr>
          <w:rFonts w:ascii="Arial" w:hAnsi="Arial" w:cs="Arial"/>
          <w:bCs/>
          <w:color w:val="auto"/>
          <w:sz w:val="20"/>
          <w:szCs w:val="20"/>
        </w:rPr>
        <w:t xml:space="preserve"> anti-transglutaminasa para pesquisa de enfermedad celiaca en pacientes pediátricos</w:t>
      </w:r>
      <w:r w:rsidRPr="006A38AF">
        <w:rPr>
          <w:rFonts w:ascii="Arial" w:hAnsi="Arial" w:cs="Arial"/>
          <w:color w:val="auto"/>
          <w:sz w:val="20"/>
          <w:szCs w:val="20"/>
        </w:rPr>
        <w:t xml:space="preserve"> Rev.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Cub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r w:rsidRPr="006A38AF">
        <w:rPr>
          <w:rFonts w:ascii="Arial" w:hAnsi="Arial" w:cs="Arial"/>
          <w:color w:val="auto"/>
          <w:sz w:val="20"/>
          <w:szCs w:val="20"/>
        </w:rPr>
        <w:t>Pediatr</w:t>
      </w:r>
      <w:proofErr w:type="spellEnd"/>
      <w:r w:rsidRPr="006A38AF">
        <w:rPr>
          <w:rFonts w:ascii="Arial" w:hAnsi="Arial" w:cs="Arial"/>
          <w:color w:val="auto"/>
          <w:sz w:val="20"/>
          <w:szCs w:val="20"/>
        </w:rPr>
        <w:t>. 2017; 89(4): ISSN 0034-7531</w:t>
      </w:r>
    </w:p>
    <w:p w:rsidR="00A84095" w:rsidRPr="006A38AF" w:rsidRDefault="00A84095" w:rsidP="0077278E">
      <w:pPr>
        <w:pStyle w:val="Ttulo3"/>
        <w:jc w:val="both"/>
        <w:rPr>
          <w:rFonts w:ascii="Arial" w:hAnsi="Arial" w:cs="Arial"/>
          <w:b w:val="0"/>
          <w:sz w:val="20"/>
          <w:szCs w:val="20"/>
        </w:rPr>
      </w:pPr>
      <w:r w:rsidRPr="006A38AF">
        <w:rPr>
          <w:rFonts w:ascii="Arial" w:hAnsi="Arial" w:cs="Arial"/>
          <w:b w:val="0"/>
          <w:bCs w:val="0"/>
          <w:sz w:val="20"/>
          <w:szCs w:val="20"/>
        </w:rPr>
        <w:t xml:space="preserve">11- Torres Odio S, Martínez Córdova Z, Calzadilla Lugo F, García González I, Santana </w:t>
      </w:r>
      <w:proofErr w:type="spellStart"/>
      <w:r w:rsidRPr="006A38AF">
        <w:rPr>
          <w:rFonts w:ascii="Arial" w:hAnsi="Arial" w:cs="Arial"/>
          <w:b w:val="0"/>
          <w:bCs w:val="0"/>
          <w:sz w:val="20"/>
          <w:szCs w:val="20"/>
        </w:rPr>
        <w:t>Porbén</w:t>
      </w:r>
      <w:proofErr w:type="spellEnd"/>
      <w:r w:rsidRPr="006A38AF">
        <w:rPr>
          <w:rFonts w:ascii="Arial" w:hAnsi="Arial" w:cs="Arial"/>
          <w:b w:val="0"/>
          <w:bCs w:val="0"/>
          <w:sz w:val="20"/>
          <w:szCs w:val="20"/>
        </w:rPr>
        <w:t xml:space="preserve"> S, </w:t>
      </w:r>
      <w:proofErr w:type="spellStart"/>
      <w:r w:rsidRPr="006A38AF">
        <w:rPr>
          <w:rFonts w:ascii="Arial" w:hAnsi="Arial" w:cs="Arial"/>
          <w:b w:val="0"/>
          <w:bCs w:val="0"/>
          <w:sz w:val="20"/>
          <w:szCs w:val="20"/>
        </w:rPr>
        <w:t>Noa</w:t>
      </w:r>
      <w:proofErr w:type="spellEnd"/>
      <w:r w:rsidRPr="006A38AF">
        <w:rPr>
          <w:rFonts w:ascii="Arial" w:hAnsi="Arial" w:cs="Arial"/>
          <w:b w:val="0"/>
          <w:bCs w:val="0"/>
          <w:sz w:val="20"/>
          <w:szCs w:val="20"/>
        </w:rPr>
        <w:t xml:space="preserve"> Pedroso G, Hernández Casas Y, et al. Comportamiento de los alelos HLA-DQB1*02 y HLA-DQB1*03 en pacientes con diagnóstico presuntivo de enfermedad celíaca.</w:t>
      </w:r>
      <w:r w:rsidRPr="006A38A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b w:val="0"/>
          <w:sz w:val="20"/>
          <w:szCs w:val="20"/>
        </w:rPr>
        <w:t>Rev</w:t>
      </w:r>
      <w:proofErr w:type="spellEnd"/>
      <w:r w:rsidRPr="006A38A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b w:val="0"/>
          <w:sz w:val="20"/>
          <w:szCs w:val="20"/>
        </w:rPr>
        <w:t>Cub</w:t>
      </w:r>
      <w:proofErr w:type="spellEnd"/>
      <w:r w:rsidRPr="006A38A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b w:val="0"/>
          <w:sz w:val="20"/>
          <w:szCs w:val="20"/>
        </w:rPr>
        <w:t>Med</w:t>
      </w:r>
      <w:proofErr w:type="spellEnd"/>
      <w:r w:rsidRPr="006A38AF">
        <w:rPr>
          <w:rFonts w:ascii="Arial" w:hAnsi="Arial" w:cs="Arial"/>
          <w:b w:val="0"/>
          <w:sz w:val="20"/>
          <w:szCs w:val="20"/>
        </w:rPr>
        <w:t>. 2011; 50(3):</w:t>
      </w:r>
    </w:p>
    <w:p w:rsidR="00A84095" w:rsidRPr="006A38AF" w:rsidRDefault="00A84095" w:rsidP="0077278E">
      <w:pPr>
        <w:pStyle w:val="Ttulo3"/>
        <w:jc w:val="both"/>
        <w:rPr>
          <w:rFonts w:ascii="Arial" w:hAnsi="Arial" w:cs="Arial"/>
          <w:b w:val="0"/>
          <w:sz w:val="20"/>
          <w:szCs w:val="20"/>
        </w:rPr>
      </w:pPr>
      <w:r w:rsidRPr="006A38AF">
        <w:rPr>
          <w:rFonts w:ascii="Arial" w:hAnsi="Arial" w:cs="Arial"/>
          <w:b w:val="0"/>
          <w:bCs w:val="0"/>
          <w:sz w:val="20"/>
          <w:szCs w:val="20"/>
        </w:rPr>
        <w:t>12- Torres Odio S, Martínez Córdova Z. Base genética de la enfermedad celiaca en el diagnóstico.</w:t>
      </w:r>
      <w:r w:rsidRPr="006A38A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b w:val="0"/>
          <w:sz w:val="20"/>
          <w:szCs w:val="20"/>
        </w:rPr>
        <w:t>Rev</w:t>
      </w:r>
      <w:proofErr w:type="spellEnd"/>
      <w:r w:rsidRPr="006A38A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b w:val="0"/>
          <w:sz w:val="20"/>
          <w:szCs w:val="20"/>
        </w:rPr>
        <w:t>Cub</w:t>
      </w:r>
      <w:proofErr w:type="spellEnd"/>
      <w:r w:rsidRPr="006A38AF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b w:val="0"/>
          <w:sz w:val="20"/>
          <w:szCs w:val="20"/>
        </w:rPr>
        <w:t>Med</w:t>
      </w:r>
      <w:proofErr w:type="spellEnd"/>
      <w:r w:rsidRPr="006A38AF">
        <w:rPr>
          <w:rFonts w:ascii="Arial" w:hAnsi="Arial" w:cs="Arial"/>
          <w:b w:val="0"/>
          <w:sz w:val="20"/>
          <w:szCs w:val="20"/>
        </w:rPr>
        <w:t>, 2012; 51(2):</w:t>
      </w:r>
    </w:p>
    <w:p w:rsidR="00A84095" w:rsidRPr="006A38AF" w:rsidRDefault="00A84095" w:rsidP="0077278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231F20"/>
          <w:sz w:val="20"/>
          <w:szCs w:val="20"/>
        </w:rPr>
      </w:pPr>
      <w:r w:rsidRPr="006A38AF">
        <w:rPr>
          <w:rFonts w:ascii="Arial" w:hAnsi="Arial" w:cs="Arial"/>
          <w:color w:val="231F20"/>
          <w:sz w:val="20"/>
          <w:szCs w:val="20"/>
        </w:rPr>
        <w:t xml:space="preserve">13- Marsh MN,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Growe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PT.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Morphology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of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the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mucosal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lesion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of gluten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sensivity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in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architecturally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normal duodenal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mucosal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biopsies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. Am J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Clin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color w:val="231F20"/>
          <w:sz w:val="20"/>
          <w:szCs w:val="20"/>
        </w:rPr>
        <w:t>Pathol</w:t>
      </w:r>
      <w:proofErr w:type="spellEnd"/>
      <w:r w:rsidRPr="006A38AF">
        <w:rPr>
          <w:rFonts w:ascii="Arial" w:hAnsi="Arial" w:cs="Arial"/>
          <w:color w:val="231F20"/>
          <w:sz w:val="20"/>
          <w:szCs w:val="20"/>
        </w:rPr>
        <w:t>. 2001; 116:63-71.</w:t>
      </w:r>
    </w:p>
    <w:p w:rsidR="00A84095" w:rsidRPr="006A38AF" w:rsidRDefault="00A84095" w:rsidP="007727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14-Bao F, </w:t>
      </w:r>
      <w:proofErr w:type="spellStart"/>
      <w:r w:rsidRPr="006A38AF">
        <w:rPr>
          <w:rFonts w:ascii="Arial" w:hAnsi="Arial" w:cs="Arial"/>
          <w:sz w:val="20"/>
          <w:szCs w:val="20"/>
        </w:rPr>
        <w:t>Bhagat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G. </w:t>
      </w:r>
      <w:proofErr w:type="spellStart"/>
      <w:r w:rsidRPr="006A38AF">
        <w:rPr>
          <w:rFonts w:ascii="Arial" w:hAnsi="Arial" w:cs="Arial"/>
          <w:sz w:val="20"/>
          <w:szCs w:val="20"/>
        </w:rPr>
        <w:t>Histopathology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A38AF">
        <w:rPr>
          <w:rFonts w:ascii="Arial" w:hAnsi="Arial" w:cs="Arial"/>
          <w:sz w:val="20"/>
          <w:szCs w:val="20"/>
        </w:rPr>
        <w:t>celiac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sz w:val="20"/>
          <w:szCs w:val="20"/>
        </w:rPr>
        <w:t>disease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38AF">
        <w:rPr>
          <w:rFonts w:ascii="Arial" w:hAnsi="Arial" w:cs="Arial"/>
          <w:sz w:val="20"/>
          <w:szCs w:val="20"/>
        </w:rPr>
        <w:t>Gastrointest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38AF">
        <w:rPr>
          <w:rFonts w:ascii="Arial" w:hAnsi="Arial" w:cs="Arial"/>
          <w:sz w:val="20"/>
          <w:szCs w:val="20"/>
        </w:rPr>
        <w:t>Endosc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38AF">
        <w:rPr>
          <w:rFonts w:ascii="Arial" w:hAnsi="Arial" w:cs="Arial"/>
          <w:sz w:val="20"/>
          <w:szCs w:val="20"/>
        </w:rPr>
        <w:t>Clin</w:t>
      </w:r>
      <w:proofErr w:type="spellEnd"/>
      <w:r w:rsidRPr="006A38AF">
        <w:rPr>
          <w:rFonts w:ascii="Arial" w:hAnsi="Arial" w:cs="Arial"/>
          <w:sz w:val="20"/>
          <w:szCs w:val="20"/>
        </w:rPr>
        <w:t>. N. Am. 2012; 22(4):679-94.</w:t>
      </w:r>
    </w:p>
    <w:p w:rsidR="00A84095" w:rsidRPr="006A38AF" w:rsidRDefault="00A84095" w:rsidP="0077278E">
      <w:pPr>
        <w:spacing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A38AF">
        <w:rPr>
          <w:rFonts w:ascii="Arial" w:hAnsi="Arial" w:cs="Arial"/>
          <w:sz w:val="20"/>
          <w:szCs w:val="20"/>
        </w:rPr>
        <w:t xml:space="preserve">15- </w:t>
      </w:r>
      <w:proofErr w:type="spellStart"/>
      <w:r w:rsidRPr="006A38AF">
        <w:rPr>
          <w:rFonts w:ascii="Arial" w:hAnsi="Arial" w:cs="Arial"/>
          <w:sz w:val="20"/>
          <w:szCs w:val="20"/>
        </w:rPr>
        <w:t>Oberhuber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G. </w:t>
      </w:r>
      <w:proofErr w:type="spellStart"/>
      <w:r w:rsidRPr="006A38AF">
        <w:rPr>
          <w:rFonts w:ascii="Arial" w:hAnsi="Arial" w:cs="Arial"/>
          <w:sz w:val="20"/>
          <w:szCs w:val="20"/>
        </w:rPr>
        <w:t>Histopathology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6A38AF">
        <w:rPr>
          <w:rFonts w:ascii="Arial" w:hAnsi="Arial" w:cs="Arial"/>
          <w:sz w:val="20"/>
          <w:szCs w:val="20"/>
        </w:rPr>
        <w:t>celiac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sz w:val="20"/>
          <w:szCs w:val="20"/>
        </w:rPr>
        <w:t>disease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38AF">
        <w:rPr>
          <w:rFonts w:ascii="Arial" w:hAnsi="Arial" w:cs="Arial"/>
          <w:sz w:val="20"/>
          <w:szCs w:val="20"/>
        </w:rPr>
        <w:t>Biomed</w:t>
      </w:r>
      <w:proofErr w:type="spellEnd"/>
      <w:r w:rsidRPr="006A38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hAnsi="Arial" w:cs="Arial"/>
          <w:sz w:val="20"/>
          <w:szCs w:val="20"/>
        </w:rPr>
        <w:t>Pharmacother</w:t>
      </w:r>
      <w:proofErr w:type="spellEnd"/>
      <w:r w:rsidRPr="006A38AF">
        <w:rPr>
          <w:rFonts w:ascii="Arial" w:hAnsi="Arial" w:cs="Arial"/>
          <w:sz w:val="20"/>
          <w:szCs w:val="20"/>
        </w:rPr>
        <w:t>. 2000; 54(7):368-72.</w:t>
      </w:r>
    </w:p>
    <w:p w:rsidR="00A84095" w:rsidRPr="006A38AF" w:rsidRDefault="00A84095" w:rsidP="0077278E">
      <w:pPr>
        <w:spacing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A38AF">
        <w:rPr>
          <w:rFonts w:ascii="Arial" w:eastAsia="Arial Unicode MS" w:hAnsi="Arial" w:cs="Arial"/>
          <w:sz w:val="20"/>
          <w:szCs w:val="20"/>
        </w:rPr>
        <w:t xml:space="preserve">16-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Pelkowski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TD, Viera AJ, et al.: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Celiac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disease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: diagnosis and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management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, Am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Fam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A38AF">
        <w:rPr>
          <w:rFonts w:ascii="Arial" w:eastAsia="Arial Unicode MS" w:hAnsi="Arial" w:cs="Arial"/>
          <w:sz w:val="20"/>
          <w:szCs w:val="20"/>
        </w:rPr>
        <w:t>Physician</w:t>
      </w:r>
      <w:proofErr w:type="spellEnd"/>
      <w:r w:rsidRPr="006A38AF">
        <w:rPr>
          <w:rFonts w:ascii="Arial" w:eastAsia="Arial Unicode MS" w:hAnsi="Arial" w:cs="Arial"/>
          <w:sz w:val="20"/>
          <w:szCs w:val="20"/>
        </w:rPr>
        <w:t>. 2014; 89(2):99–105.</w:t>
      </w:r>
    </w:p>
    <w:p w:rsidR="00A84095" w:rsidRPr="0004108E" w:rsidRDefault="00A84095" w:rsidP="007727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A84095" w:rsidRPr="0004108E" w:rsidSect="00354636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7B8"/>
    <w:multiLevelType w:val="hybridMultilevel"/>
    <w:tmpl w:val="7292B5F2"/>
    <w:lvl w:ilvl="0" w:tplc="757C99A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3D8A"/>
    <w:multiLevelType w:val="hybridMultilevel"/>
    <w:tmpl w:val="D5B055AA"/>
    <w:lvl w:ilvl="0" w:tplc="B7D85134">
      <w:start w:val="1"/>
      <w:numFmt w:val="decimal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0206"/>
    <w:multiLevelType w:val="hybridMultilevel"/>
    <w:tmpl w:val="A1001E9A"/>
    <w:lvl w:ilvl="0" w:tplc="1F50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90BFE"/>
    <w:multiLevelType w:val="hybridMultilevel"/>
    <w:tmpl w:val="61BCF6F6"/>
    <w:lvl w:ilvl="0" w:tplc="CABC4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D7C92"/>
    <w:multiLevelType w:val="hybridMultilevel"/>
    <w:tmpl w:val="51C0A30C"/>
    <w:lvl w:ilvl="0" w:tplc="1ECE39B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14038"/>
    <w:multiLevelType w:val="hybridMultilevel"/>
    <w:tmpl w:val="B5FAEEEA"/>
    <w:lvl w:ilvl="0" w:tplc="BDC6F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C40F3"/>
    <w:multiLevelType w:val="hybridMultilevel"/>
    <w:tmpl w:val="BE9AC2F6"/>
    <w:lvl w:ilvl="0" w:tplc="570A8D5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637878"/>
    <w:multiLevelType w:val="hybridMultilevel"/>
    <w:tmpl w:val="CF2ED608"/>
    <w:lvl w:ilvl="0" w:tplc="3140ED1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F4"/>
    <w:rsid w:val="00040930"/>
    <w:rsid w:val="0004108E"/>
    <w:rsid w:val="0004238B"/>
    <w:rsid w:val="00093AD0"/>
    <w:rsid w:val="000B2322"/>
    <w:rsid w:val="000C0307"/>
    <w:rsid w:val="000C493C"/>
    <w:rsid w:val="000F2928"/>
    <w:rsid w:val="000F3804"/>
    <w:rsid w:val="00105223"/>
    <w:rsid w:val="00116DCF"/>
    <w:rsid w:val="00124CB9"/>
    <w:rsid w:val="001258F9"/>
    <w:rsid w:val="00181BDF"/>
    <w:rsid w:val="001919FC"/>
    <w:rsid w:val="00191F6E"/>
    <w:rsid w:val="001C3DC3"/>
    <w:rsid w:val="001C5F05"/>
    <w:rsid w:val="002018D2"/>
    <w:rsid w:val="00207D93"/>
    <w:rsid w:val="00212384"/>
    <w:rsid w:val="002129D2"/>
    <w:rsid w:val="00232F60"/>
    <w:rsid w:val="00251443"/>
    <w:rsid w:val="00252858"/>
    <w:rsid w:val="00252A5B"/>
    <w:rsid w:val="00260B3B"/>
    <w:rsid w:val="00270EBE"/>
    <w:rsid w:val="002B4780"/>
    <w:rsid w:val="00303580"/>
    <w:rsid w:val="00313C7E"/>
    <w:rsid w:val="00317615"/>
    <w:rsid w:val="00330BDE"/>
    <w:rsid w:val="00331121"/>
    <w:rsid w:val="003342D1"/>
    <w:rsid w:val="00354636"/>
    <w:rsid w:val="003B6690"/>
    <w:rsid w:val="003B6C13"/>
    <w:rsid w:val="003C7A4B"/>
    <w:rsid w:val="003E1DD4"/>
    <w:rsid w:val="003F7A7C"/>
    <w:rsid w:val="004010EB"/>
    <w:rsid w:val="004137E3"/>
    <w:rsid w:val="004A2B95"/>
    <w:rsid w:val="004E0A50"/>
    <w:rsid w:val="004F1E80"/>
    <w:rsid w:val="005012DD"/>
    <w:rsid w:val="00523230"/>
    <w:rsid w:val="005253D9"/>
    <w:rsid w:val="00560767"/>
    <w:rsid w:val="0056285C"/>
    <w:rsid w:val="00570B1B"/>
    <w:rsid w:val="00576C8B"/>
    <w:rsid w:val="00577325"/>
    <w:rsid w:val="005C74F3"/>
    <w:rsid w:val="005D16FF"/>
    <w:rsid w:val="005E1393"/>
    <w:rsid w:val="00643837"/>
    <w:rsid w:val="0065140D"/>
    <w:rsid w:val="00666ECA"/>
    <w:rsid w:val="00670F0C"/>
    <w:rsid w:val="006775A7"/>
    <w:rsid w:val="00683C17"/>
    <w:rsid w:val="006A38AF"/>
    <w:rsid w:val="006C06EC"/>
    <w:rsid w:val="006D2D92"/>
    <w:rsid w:val="006E4E61"/>
    <w:rsid w:val="00701BCB"/>
    <w:rsid w:val="007329E1"/>
    <w:rsid w:val="0074680C"/>
    <w:rsid w:val="0077278E"/>
    <w:rsid w:val="00787AEF"/>
    <w:rsid w:val="007A1F81"/>
    <w:rsid w:val="00817B55"/>
    <w:rsid w:val="0082397F"/>
    <w:rsid w:val="00861DFE"/>
    <w:rsid w:val="008776F6"/>
    <w:rsid w:val="008922E5"/>
    <w:rsid w:val="008B04CC"/>
    <w:rsid w:val="008B638E"/>
    <w:rsid w:val="008C3F66"/>
    <w:rsid w:val="009104D9"/>
    <w:rsid w:val="009216AC"/>
    <w:rsid w:val="00963943"/>
    <w:rsid w:val="009A242C"/>
    <w:rsid w:val="009A633F"/>
    <w:rsid w:val="009C1A4A"/>
    <w:rsid w:val="009D2777"/>
    <w:rsid w:val="009D69DD"/>
    <w:rsid w:val="00A01B5E"/>
    <w:rsid w:val="00A037AF"/>
    <w:rsid w:val="00A1604E"/>
    <w:rsid w:val="00A32D46"/>
    <w:rsid w:val="00A335F4"/>
    <w:rsid w:val="00A37770"/>
    <w:rsid w:val="00A675D6"/>
    <w:rsid w:val="00A7305E"/>
    <w:rsid w:val="00A84095"/>
    <w:rsid w:val="00AA1240"/>
    <w:rsid w:val="00AC294D"/>
    <w:rsid w:val="00AD0C9C"/>
    <w:rsid w:val="00AE71C9"/>
    <w:rsid w:val="00AF384A"/>
    <w:rsid w:val="00B06510"/>
    <w:rsid w:val="00B215A6"/>
    <w:rsid w:val="00B4089C"/>
    <w:rsid w:val="00B72DC1"/>
    <w:rsid w:val="00B966D1"/>
    <w:rsid w:val="00BA678C"/>
    <w:rsid w:val="00BC20DE"/>
    <w:rsid w:val="00BD483C"/>
    <w:rsid w:val="00BE53DC"/>
    <w:rsid w:val="00C31E33"/>
    <w:rsid w:val="00C76F1F"/>
    <w:rsid w:val="00C92BBF"/>
    <w:rsid w:val="00CB0777"/>
    <w:rsid w:val="00CD4C3B"/>
    <w:rsid w:val="00CD4DBB"/>
    <w:rsid w:val="00CD74E9"/>
    <w:rsid w:val="00CF2E67"/>
    <w:rsid w:val="00D47C37"/>
    <w:rsid w:val="00D50B3B"/>
    <w:rsid w:val="00D65306"/>
    <w:rsid w:val="00D6599C"/>
    <w:rsid w:val="00D71DA9"/>
    <w:rsid w:val="00D73074"/>
    <w:rsid w:val="00DA455E"/>
    <w:rsid w:val="00DC066A"/>
    <w:rsid w:val="00DE661B"/>
    <w:rsid w:val="00E444CE"/>
    <w:rsid w:val="00E5161F"/>
    <w:rsid w:val="00E532EF"/>
    <w:rsid w:val="00E5496A"/>
    <w:rsid w:val="00E83F4B"/>
    <w:rsid w:val="00EA7430"/>
    <w:rsid w:val="00EB0D49"/>
    <w:rsid w:val="00EB52B1"/>
    <w:rsid w:val="00F05027"/>
    <w:rsid w:val="00F350C4"/>
    <w:rsid w:val="00F5345E"/>
    <w:rsid w:val="00F80C7D"/>
    <w:rsid w:val="00FA2652"/>
    <w:rsid w:val="00FD341E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CD23"/>
  <w15:chartTrackingRefBased/>
  <w15:docId w15:val="{DA8E2784-38F0-409F-A7FC-DFF80D9E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F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1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C7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37E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137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EB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C20D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4093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C7A4B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autores">
    <w:name w:val="autores"/>
    <w:basedOn w:val="Fuentedeprrafopredeter"/>
    <w:rsid w:val="003C7A4B"/>
  </w:style>
  <w:style w:type="character" w:customStyle="1" w:styleId="elsevieritemautor">
    <w:name w:val="elsevieritemautor"/>
    <w:basedOn w:val="Fuentedeprrafopredeter"/>
    <w:rsid w:val="00576C8B"/>
  </w:style>
  <w:style w:type="character" w:customStyle="1" w:styleId="elsevieritemautorrelaciones">
    <w:name w:val="elsevieritemautorrelaciones"/>
    <w:basedOn w:val="Fuentedeprrafopredeter"/>
    <w:rsid w:val="00576C8B"/>
  </w:style>
  <w:style w:type="character" w:customStyle="1" w:styleId="elsevierstylesup">
    <w:name w:val="elsevierstylesup"/>
    <w:basedOn w:val="Fuentedeprrafopredeter"/>
    <w:rsid w:val="00576C8B"/>
  </w:style>
  <w:style w:type="character" w:customStyle="1" w:styleId="Ttulo2Car">
    <w:name w:val="Título 2 Car"/>
    <w:basedOn w:val="Fuentedeprrafopredeter"/>
    <w:link w:val="Ttulo2"/>
    <w:uiPriority w:val="9"/>
    <w:rsid w:val="00251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Fuentedeprrafopredeter"/>
    <w:rsid w:val="00212384"/>
    <w:rPr>
      <w:rFonts w:ascii="Lucida Sans Unicode" w:hAnsi="Lucida Sans Unicode" w:cs="Lucida Sans Unicode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Fuentedeprrafopredeter"/>
    <w:rsid w:val="003E1DD4"/>
    <w:rPr>
      <w:rFonts w:ascii="Frutiger-Light" w:hAnsi="Frutiger-Light" w:hint="default"/>
      <w:b w:val="0"/>
      <w:bCs w:val="0"/>
      <w:i w:val="0"/>
      <w:iCs w:val="0"/>
      <w:color w:val="242021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C06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06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06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06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06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66A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Fuentedeprrafopredeter"/>
    <w:rsid w:val="00E5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icidad.net/no-la-celiaqu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ladimir@infomed.sld.c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belar@infomed.sld.cu" TargetMode="External"/><Relationship Id="rId11" Type="http://schemas.openxmlformats.org/officeDocument/2006/relationships/hyperlink" Target="https://celicidad.net/clasificacion-marsh-los-grados-de-lesion-del-intestino-en-celiac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elicidad.net/prueba-genetica-celiaqu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licidad.net/anticuerpos-de-la-celiaqu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1A2E-79E7-4C39-B9E9-441336A2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3217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WLADIMIRO</dc:creator>
  <cp:keywords/>
  <dc:description/>
  <cp:lastModifiedBy>WLADIMIRO</cp:lastModifiedBy>
  <cp:revision>40</cp:revision>
  <dcterms:created xsi:type="dcterms:W3CDTF">2019-04-03T21:03:00Z</dcterms:created>
  <dcterms:modified xsi:type="dcterms:W3CDTF">2019-04-18T12:52:00Z</dcterms:modified>
</cp:coreProperties>
</file>